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14:paraId="9FD70429">
      <w:pPr>
        <w:pStyle w:val="style0"/>
        <w:spacing w:before="2400"/>
        <w:jc w:val="center"/>
        <w:rPr/>
      </w:pPr>
      <w:r>
        <w:rPr>
          <w:b/>
          <w:bCs/>
          <w:color w:val="1f3864"/>
          <w:sz w:val="56"/>
          <w:szCs w:val="56"/>
        </w:rPr>
        <w:t>THUTO LETLOTLO NPC</w:t>
      </w:r>
    </w:p>
    <w:p w14:paraId="1B0BACC0">
      <w:pPr>
        <w:pStyle w:val="style0"/>
        <w:spacing w:before="200"/>
        <w:jc w:val="center"/>
        <w:rPr/>
      </w:pPr>
      <w:r>
        <w:rPr>
          <w:i/>
          <w:iCs/>
          <w:color w:val="b8860b"/>
          <w:sz w:val="26"/>
          <w:szCs w:val="26"/>
        </w:rPr>
        <w:t>Empowering Minds. Transforming Skills. Building the Future.</w:t>
      </w:r>
    </w:p>
    <w:p w14:paraId="3D32A916">
      <w:pPr>
        <w:pStyle w:val="style0"/>
        <w:spacing w:before="600"/>
        <w:jc w:val="center"/>
        <w:rPr/>
      </w:pPr>
      <w:r>
        <w:rPr>
          <w:sz w:val="24"/>
          <w:szCs w:val="24"/>
        </w:rPr>
        <w:t>Company Profile &amp; Website Content Reference</w:t>
      </w:r>
    </w:p>
    <w:p w14:paraId="0D596754">
      <w:pPr>
        <w:pStyle w:val="style0"/>
        <w:spacing w:before="100"/>
        <w:jc w:val="center"/>
        <w:rPr/>
      </w:pPr>
      <w:r>
        <w:rPr>
          <w:sz w:val="22"/>
          <w:szCs w:val="22"/>
        </w:rPr>
        <w:t>Registration No. 2025/062534/08  |  Non-Profit Company (NPC)</w:t>
      </w:r>
    </w:p>
    <w:p w14:paraId="6A67AF36">
      <w:pPr>
        <w:pStyle w:val="style0"/>
        <w:spacing w:before="100"/>
        <w:jc w:val="center"/>
        <w:rPr/>
      </w:pPr>
      <w:r>
        <w:rPr>
          <w:sz w:val="22"/>
          <w:szCs w:val="22"/>
        </w:rPr>
        <w:t>Free State, South Africa  |  July 2026</w:t>
      </w:r>
    </w:p>
    <w:p w14:paraId="0C1B4C07">
      <w:pPr>
        <w:pStyle w:val="style0"/>
        <w:rPr/>
        <w:sectPr>
          <w:pgSz w:w="12240" w:h="15840" w:orient="portrait"/>
          <w:pgMar w:top="1440" w:right="1440" w:bottom="1440" w:left="1440" w:header="708" w:footer="708" w:gutter="0"/>
          <w:docGrid w:linePitch="360"/>
        </w:sectPr>
      </w:pPr>
    </w:p>
    <w:p w14:paraId="BD2134F9">
      <w:pPr>
        <w:pStyle w:val="style4097"/>
        <w:pBdr>
          <w:bottom w:val="single" w:sz="6" w:space="4" w:color="1f3864"/>
        </w:pBdr>
        <w:spacing w:before="360" w:after="160"/>
        <w:rPr/>
      </w:pPr>
      <w:r>
        <w:rPr>
          <w:b/>
          <w:bCs/>
          <w:color w:val="1f3864"/>
          <w:sz w:val="30"/>
          <w:szCs w:val="30"/>
        </w:rPr>
        <w:t>1. Company Overview</w:t>
      </w:r>
    </w:p>
    <w:p w14:paraId="0169BC45">
      <w:pPr>
        <w:pStyle w:val="style0"/>
        <w:spacing w:after="140" w:lineRule="auto" w:line="276"/>
        <w:rPr/>
      </w:pPr>
      <w:r>
        <w:rPr>
          <w:sz w:val="22"/>
          <w:szCs w:val="22"/>
        </w:rPr>
        <w:t>Thuto Letlotlo NPC is a registered South African non-profit company, established by a team of qualified educators, digital learning practitioners, and technical professionals. The organisation was formed to close two related gaps: the gap between traditional education and modern workplace technology</w:t>
      </w:r>
      <w:r>
        <w:rPr>
          <w:sz w:val="22"/>
          <w:szCs w:val="22"/>
          <w:lang w:val="en-US"/>
        </w:rPr>
        <w:t>.</w:t>
      </w:r>
    </w:p>
    <w:p w14:paraId="99ABAB54">
      <w:pPr>
        <w:pStyle w:val="style0"/>
        <w:spacing w:after="140" w:lineRule="auto" w:line="276"/>
        <w:rPr/>
      </w:pPr>
      <w:r>
        <w:rPr>
          <w:sz w:val="22"/>
          <w:szCs w:val="22"/>
        </w:rPr>
        <w:t>By combining practical digital and AI skills training with accredited technical trades and renewable energy training, Thuto Letlotlo bridges education and industry, equipping learners, educators and unemployed youth to thrive in a rapidly changing economy.</w:t>
      </w:r>
    </w:p>
    <w:p w14:paraId="463900EC">
      <w:pPr>
        <w:pStyle w:val="style4098"/>
        <w:spacing w:before="260" w:after="120"/>
        <w:rPr/>
      </w:pPr>
      <w:r>
        <w:rPr>
          <w:b/>
          <w:bCs/>
          <w:color w:val="b8860b"/>
          <w:sz w:val="24"/>
          <w:szCs w:val="24"/>
        </w:rPr>
        <w:t>Registration Details</w:t>
      </w: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3200"/>
        <w:gridCol w:w="6300"/>
      </w:tblGrid>
      <w:tr w14:paraId="3EC82286">
        <w:trPr/>
        <w:tc>
          <w:tcPr>
            <w:tcW w:w="3200" w:type="dxa"/>
            <w:tcBorders/>
            <w:tcMar>
              <w:top w:w="100" w:type="dxa"/>
              <w:left w:w="120" w:type="dxa"/>
              <w:bottom w:w="100" w:type="dxa"/>
              <w:right w:w="120" w:type="dxa"/>
            </w:tcMar>
          </w:tcPr>
          <w:p w14:paraId="0BC804AE">
            <w:pPr>
              <w:pStyle w:val="style0"/>
              <w:rPr/>
            </w:pPr>
            <w:r>
              <w:rPr>
                <w:b w:val="false"/>
                <w:bCs w:val="false"/>
                <w:color w:val="000000"/>
                <w:sz w:val="21"/>
                <w:szCs w:val="21"/>
              </w:rPr>
              <w:t>Legal Name</w:t>
            </w:r>
          </w:p>
        </w:tc>
        <w:tc>
          <w:tcPr>
            <w:tcW w:w="6300" w:type="dxa"/>
            <w:tcBorders/>
            <w:tcMar>
              <w:top w:w="100" w:type="dxa"/>
              <w:left w:w="120" w:type="dxa"/>
              <w:bottom w:w="100" w:type="dxa"/>
              <w:right w:w="120" w:type="dxa"/>
            </w:tcMar>
          </w:tcPr>
          <w:p w14:paraId="8D3E454D">
            <w:pPr>
              <w:pStyle w:val="style0"/>
              <w:rPr/>
            </w:pPr>
            <w:r>
              <w:rPr>
                <w:b w:val="false"/>
                <w:bCs w:val="false"/>
                <w:color w:val="000000"/>
                <w:sz w:val="21"/>
                <w:szCs w:val="21"/>
              </w:rPr>
              <w:t>Thuto Letlotlo NPC</w:t>
            </w:r>
          </w:p>
        </w:tc>
      </w:tr>
      <w:tr w14:paraId="D56E0155">
        <w:tblPrEx/>
        <w:trPr/>
        <w:tc>
          <w:tcPr>
            <w:tcW w:w="3200" w:type="dxa"/>
            <w:tcBorders/>
            <w:tcMar>
              <w:top w:w="100" w:type="dxa"/>
              <w:left w:w="120" w:type="dxa"/>
              <w:bottom w:w="100" w:type="dxa"/>
              <w:right w:w="120" w:type="dxa"/>
            </w:tcMar>
          </w:tcPr>
          <w:p w14:paraId="2267F701">
            <w:pPr>
              <w:pStyle w:val="style0"/>
              <w:rPr/>
            </w:pPr>
            <w:r>
              <w:rPr>
                <w:b w:val="false"/>
                <w:bCs w:val="false"/>
                <w:color w:val="000000"/>
                <w:sz w:val="21"/>
                <w:szCs w:val="21"/>
              </w:rPr>
              <w:t>Registration Number</w:t>
            </w:r>
          </w:p>
        </w:tc>
        <w:tc>
          <w:tcPr>
            <w:tcW w:w="6300" w:type="dxa"/>
            <w:tcBorders/>
            <w:tcMar>
              <w:top w:w="100" w:type="dxa"/>
              <w:left w:w="120" w:type="dxa"/>
              <w:bottom w:w="100" w:type="dxa"/>
              <w:right w:w="120" w:type="dxa"/>
            </w:tcMar>
          </w:tcPr>
          <w:p w14:paraId="372225C9">
            <w:pPr>
              <w:pStyle w:val="style0"/>
              <w:rPr/>
            </w:pPr>
            <w:r>
              <w:rPr>
                <w:b w:val="false"/>
                <w:bCs w:val="false"/>
                <w:color w:val="000000"/>
                <w:sz w:val="21"/>
                <w:szCs w:val="21"/>
              </w:rPr>
              <w:t>2025/062534/08</w:t>
            </w:r>
          </w:p>
        </w:tc>
      </w:tr>
      <w:tr w14:paraId="C5F07D29">
        <w:tblPrEx/>
        <w:trPr/>
        <w:tc>
          <w:tcPr>
            <w:tcW w:w="3200" w:type="dxa"/>
            <w:tcBorders/>
            <w:tcMar>
              <w:top w:w="100" w:type="dxa"/>
              <w:left w:w="120" w:type="dxa"/>
              <w:bottom w:w="100" w:type="dxa"/>
              <w:right w:w="120" w:type="dxa"/>
            </w:tcMar>
          </w:tcPr>
          <w:p w14:paraId="411D4C58">
            <w:pPr>
              <w:pStyle w:val="style0"/>
              <w:rPr/>
            </w:pPr>
            <w:r>
              <w:rPr>
                <w:b w:val="false"/>
                <w:bCs w:val="false"/>
                <w:color w:val="000000"/>
                <w:sz w:val="21"/>
                <w:szCs w:val="21"/>
              </w:rPr>
              <w:t>Entity Type</w:t>
            </w:r>
          </w:p>
        </w:tc>
        <w:tc>
          <w:tcPr>
            <w:tcW w:w="6300" w:type="dxa"/>
            <w:tcBorders/>
            <w:tcMar>
              <w:top w:w="100" w:type="dxa"/>
              <w:left w:w="120" w:type="dxa"/>
              <w:bottom w:w="100" w:type="dxa"/>
              <w:right w:w="120" w:type="dxa"/>
            </w:tcMar>
          </w:tcPr>
          <w:p w14:paraId="6A4886ED">
            <w:pPr>
              <w:pStyle w:val="style0"/>
              <w:rPr/>
            </w:pPr>
            <w:r>
              <w:rPr>
                <w:b w:val="false"/>
                <w:bCs w:val="false"/>
                <w:color w:val="000000"/>
                <w:sz w:val="21"/>
                <w:szCs w:val="21"/>
              </w:rPr>
              <w:t>Non-Profit Company (NPC)</w:t>
            </w:r>
          </w:p>
        </w:tc>
      </w:tr>
      <w:tr w14:paraId="02A2AE53">
        <w:tblPrEx/>
        <w:trPr/>
        <w:tc>
          <w:tcPr>
            <w:tcW w:w="3200" w:type="dxa"/>
            <w:tcBorders/>
            <w:tcMar>
              <w:top w:w="100" w:type="dxa"/>
              <w:left w:w="120" w:type="dxa"/>
              <w:bottom w:w="100" w:type="dxa"/>
              <w:right w:w="120" w:type="dxa"/>
            </w:tcMar>
          </w:tcPr>
          <w:p w14:paraId="68E45D4E">
            <w:pPr>
              <w:pStyle w:val="style0"/>
              <w:rPr/>
            </w:pPr>
            <w:r>
              <w:rPr>
                <w:b w:val="false"/>
                <w:bCs w:val="false"/>
                <w:color w:val="000000"/>
                <w:sz w:val="21"/>
                <w:szCs w:val="21"/>
              </w:rPr>
              <w:t>Registration Date</w:t>
            </w:r>
          </w:p>
        </w:tc>
        <w:tc>
          <w:tcPr>
            <w:tcW w:w="6300" w:type="dxa"/>
            <w:tcBorders/>
            <w:tcMar>
              <w:top w:w="100" w:type="dxa"/>
              <w:left w:w="120" w:type="dxa"/>
              <w:bottom w:w="100" w:type="dxa"/>
              <w:right w:w="120" w:type="dxa"/>
            </w:tcMar>
          </w:tcPr>
          <w:p w14:paraId="C1DDFFB2">
            <w:pPr>
              <w:pStyle w:val="style0"/>
              <w:rPr/>
            </w:pPr>
            <w:r>
              <w:rPr>
                <w:b w:val="false"/>
                <w:bCs w:val="false"/>
                <w:color w:val="000000"/>
                <w:sz w:val="21"/>
                <w:szCs w:val="21"/>
              </w:rPr>
              <w:t>28 January 2025</w:t>
            </w:r>
          </w:p>
        </w:tc>
      </w:tr>
      <w:tr w14:paraId="A93AF555">
        <w:tblPrEx/>
        <w:trPr/>
        <w:tc>
          <w:tcPr>
            <w:tcW w:w="3200" w:type="dxa"/>
            <w:tcBorders/>
            <w:tcMar>
              <w:top w:w="100" w:type="dxa"/>
              <w:left w:w="120" w:type="dxa"/>
              <w:bottom w:w="100" w:type="dxa"/>
              <w:right w:w="120" w:type="dxa"/>
            </w:tcMar>
          </w:tcPr>
          <w:p w14:paraId="382D05C9">
            <w:pPr>
              <w:pStyle w:val="style0"/>
              <w:rPr/>
            </w:pPr>
            <w:r>
              <w:rPr>
                <w:b w:val="false"/>
                <w:bCs w:val="false"/>
                <w:color w:val="000000"/>
                <w:sz w:val="21"/>
                <w:szCs w:val="21"/>
              </w:rPr>
              <w:t>Financial Year End</w:t>
            </w:r>
          </w:p>
        </w:tc>
        <w:tc>
          <w:tcPr>
            <w:tcW w:w="6300" w:type="dxa"/>
            <w:tcBorders/>
            <w:tcMar>
              <w:top w:w="100" w:type="dxa"/>
              <w:left w:w="120" w:type="dxa"/>
              <w:bottom w:w="100" w:type="dxa"/>
              <w:right w:w="120" w:type="dxa"/>
            </w:tcMar>
          </w:tcPr>
          <w:p w14:paraId="AA1FBF22">
            <w:pPr>
              <w:pStyle w:val="style0"/>
              <w:rPr/>
            </w:pPr>
            <w:r>
              <w:rPr>
                <w:b w:val="false"/>
                <w:bCs w:val="false"/>
                <w:color w:val="000000"/>
                <w:sz w:val="21"/>
                <w:szCs w:val="21"/>
              </w:rPr>
              <w:t>May</w:t>
            </w:r>
          </w:p>
        </w:tc>
      </w:tr>
      <w:tr w14:paraId="595434AD">
        <w:tblPrEx/>
        <w:trPr/>
        <w:tc>
          <w:tcPr>
            <w:tcW w:w="3200" w:type="dxa"/>
            <w:tcBorders/>
            <w:tcMar>
              <w:top w:w="100" w:type="dxa"/>
              <w:left w:w="120" w:type="dxa"/>
              <w:bottom w:w="100" w:type="dxa"/>
              <w:right w:w="120" w:type="dxa"/>
            </w:tcMar>
          </w:tcPr>
          <w:p w14:paraId="CB72613F">
            <w:pPr>
              <w:pStyle w:val="style0"/>
              <w:rPr/>
            </w:pPr>
            <w:r>
              <w:rPr>
                <w:b w:val="false"/>
                <w:bCs w:val="false"/>
                <w:color w:val="000000"/>
                <w:sz w:val="21"/>
                <w:szCs w:val="21"/>
              </w:rPr>
              <w:t>Location</w:t>
            </w:r>
          </w:p>
        </w:tc>
        <w:tc>
          <w:tcPr>
            <w:tcW w:w="6300" w:type="dxa"/>
            <w:tcBorders/>
            <w:tcMar>
              <w:top w:w="100" w:type="dxa"/>
              <w:left w:w="120" w:type="dxa"/>
              <w:bottom w:w="100" w:type="dxa"/>
              <w:right w:w="120" w:type="dxa"/>
            </w:tcMar>
          </w:tcPr>
          <w:p w14:paraId="88641AF2">
            <w:pPr>
              <w:pStyle w:val="style0"/>
              <w:rPr/>
            </w:pPr>
            <w:r>
              <w:rPr>
                <w:b w:val="false"/>
                <w:bCs w:val="false"/>
                <w:color w:val="000000"/>
                <w:sz w:val="21"/>
                <w:szCs w:val="21"/>
              </w:rPr>
              <w:t>Free State, South Africa (Matjhabeng region, including Welkom)</w:t>
            </w:r>
          </w:p>
        </w:tc>
      </w:tr>
    </w:tbl>
    <w:p w14:paraId="48B03CC7">
      <w:pPr>
        <w:pStyle w:val="style4097"/>
        <w:pBdr>
          <w:bottom w:val="single" w:sz="6" w:space="4" w:color="1f3864"/>
        </w:pBdr>
        <w:spacing w:before="360" w:after="160"/>
        <w:rPr/>
      </w:pPr>
      <w:r>
        <w:rPr>
          <w:b/>
          <w:bCs/>
          <w:color w:val="1f3864"/>
          <w:sz w:val="30"/>
          <w:szCs w:val="30"/>
        </w:rPr>
        <w:t>2. Vision</w:t>
      </w:r>
    </w:p>
    <w:p w14:paraId="9DB94640">
      <w:pPr>
        <w:pStyle w:val="style0"/>
        <w:spacing w:after="140" w:lineRule="auto" w:line="276"/>
        <w:rPr/>
      </w:pPr>
      <w:r>
        <w:rPr>
          <w:sz w:val="22"/>
          <w:szCs w:val="22"/>
        </w:rPr>
        <w:t>To become a leading non-profit organisation in digital literacy and AI-assisted learning, fostering innovation and lifelong learning across all communities</w:t>
      </w:r>
      <w:r>
        <w:rPr>
          <w:sz w:val="22"/>
          <w:szCs w:val="22"/>
          <w:lang w:val="en-US"/>
        </w:rPr>
        <w:t>.</w:t>
      </w:r>
    </w:p>
    <w:p w14:paraId="3C7B3610">
      <w:pPr>
        <w:pStyle w:val="style4097"/>
        <w:pBdr>
          <w:bottom w:val="single" w:sz="6" w:space="4" w:color="1f3864"/>
        </w:pBdr>
        <w:spacing w:before="360" w:after="160"/>
        <w:rPr/>
      </w:pPr>
      <w:r>
        <w:rPr>
          <w:b/>
          <w:bCs/>
          <w:color w:val="1f3864"/>
          <w:sz w:val="30"/>
          <w:szCs w:val="30"/>
        </w:rPr>
        <w:t>3. Mission</w:t>
      </w:r>
    </w:p>
    <w:p w14:paraId="0F70A08F">
      <w:pPr>
        <w:pStyle w:val="style0"/>
        <w:spacing w:after="140" w:lineRule="auto" w:line="276"/>
        <w:rPr/>
      </w:pPr>
      <w:r>
        <w:rPr>
          <w:sz w:val="22"/>
          <w:szCs w:val="22"/>
        </w:rPr>
        <w:t>To empower individuals, educators, professionals and unemployed youth with relevant digital, AI-based, and technical/renewable-energy skills that enhance productivity, creativity, employability and economic self-sufficiency in the 21st-century workplace.</w:t>
      </w:r>
    </w:p>
    <w:p w14:paraId="1DADDE8B">
      <w:pPr>
        <w:pStyle w:val="style4097"/>
        <w:pBdr>
          <w:bottom w:val="single" w:sz="6" w:space="4" w:color="1f3864"/>
        </w:pBdr>
        <w:spacing w:before="360" w:after="160"/>
        <w:rPr/>
      </w:pPr>
      <w:r>
        <w:rPr>
          <w:b/>
          <w:bCs/>
          <w:color w:val="1f3864"/>
          <w:sz w:val="30"/>
          <w:szCs w:val="30"/>
        </w:rPr>
        <w:t>4. Core Values</w:t>
      </w:r>
    </w:p>
    <w:p w14:paraId="147BF2B6">
      <w:pPr>
        <w:pStyle w:val="style179"/>
        <w:numPr>
          <w:ilvl w:val="0"/>
          <w:numId w:val="1"/>
        </w:numPr>
        <w:spacing w:after="60"/>
        <w:rPr/>
      </w:pPr>
      <w:r>
        <w:rPr>
          <w:sz w:val="22"/>
          <w:szCs w:val="22"/>
        </w:rPr>
        <w:t>Integrity — Upholding transparency and accountability in all operations.</w:t>
      </w:r>
    </w:p>
    <w:p w14:paraId="B8B28DFC">
      <w:pPr>
        <w:pStyle w:val="style179"/>
        <w:numPr>
          <w:ilvl w:val="0"/>
          <w:numId w:val="1"/>
        </w:numPr>
        <w:spacing w:after="60"/>
        <w:rPr/>
      </w:pPr>
      <w:r>
        <w:rPr>
          <w:sz w:val="22"/>
          <w:szCs w:val="22"/>
        </w:rPr>
        <w:t>Innovation — Embracing technology to create transformative learning experiences.</w:t>
      </w:r>
    </w:p>
    <w:p w14:paraId="347D65A1">
      <w:pPr>
        <w:pStyle w:val="style179"/>
        <w:numPr>
          <w:ilvl w:val="0"/>
          <w:numId w:val="1"/>
        </w:numPr>
        <w:spacing w:after="60"/>
        <w:rPr/>
      </w:pPr>
      <w:r>
        <w:rPr>
          <w:sz w:val="22"/>
          <w:szCs w:val="22"/>
        </w:rPr>
        <w:t>Excellence — Delivering training that meets the highest standards of quality.</w:t>
      </w:r>
    </w:p>
    <w:p w14:paraId="8095FFDF">
      <w:pPr>
        <w:pStyle w:val="style179"/>
        <w:numPr>
          <w:ilvl w:val="0"/>
          <w:numId w:val="1"/>
        </w:numPr>
        <w:spacing w:after="60"/>
        <w:rPr/>
      </w:pPr>
      <w:r>
        <w:rPr>
          <w:sz w:val="22"/>
          <w:szCs w:val="22"/>
        </w:rPr>
        <w:t>Inclusivity — Ensuring access to skills training for all communities.</w:t>
      </w:r>
    </w:p>
    <w:p w14:paraId="A5B4C4EE">
      <w:pPr>
        <w:pStyle w:val="style179"/>
        <w:numPr>
          <w:ilvl w:val="0"/>
          <w:numId w:val="1"/>
        </w:numPr>
        <w:spacing w:after="60"/>
        <w:rPr/>
      </w:pPr>
      <w:r>
        <w:rPr>
          <w:sz w:val="22"/>
          <w:szCs w:val="22"/>
        </w:rPr>
        <w:t>Empowerment — Enabling individuals to use knowledge as a tool for independence and growth.</w:t>
      </w:r>
    </w:p>
    <w:p w14:paraId="2580F2D6">
      <w:pPr>
        <w:pStyle w:val="style4097"/>
        <w:pBdr>
          <w:bottom w:val="single" w:sz="6" w:space="4" w:color="1f3864"/>
        </w:pBdr>
        <w:spacing w:before="360" w:after="160"/>
        <w:rPr/>
      </w:pPr>
      <w:r>
        <w:rPr>
          <w:b/>
          <w:bCs/>
          <w:color w:val="1f3864"/>
          <w:sz w:val="30"/>
          <w:szCs w:val="30"/>
        </w:rPr>
        <w:t>5. Strategic Focus Areas</w:t>
      </w:r>
    </w:p>
    <w:p w14:paraId="FA00E0E4">
      <w:pPr>
        <w:pStyle w:val="style179"/>
        <w:numPr>
          <w:ilvl w:val="0"/>
          <w:numId w:val="1"/>
        </w:numPr>
        <w:spacing w:after="60"/>
        <w:rPr/>
      </w:pPr>
      <w:r>
        <w:rPr>
          <w:sz w:val="22"/>
          <w:szCs w:val="22"/>
        </w:rPr>
        <w:t>Digital Literacy Advancement — training in modern MS Office, Google Workspace, and automation tools.</w:t>
      </w:r>
    </w:p>
    <w:p w14:paraId="6C94DC8D">
      <w:pPr>
        <w:pStyle w:val="style179"/>
        <w:numPr>
          <w:ilvl w:val="0"/>
          <w:numId w:val="1"/>
        </w:numPr>
        <w:spacing w:after="60"/>
        <w:rPr/>
      </w:pPr>
      <w:r>
        <w:rPr>
          <w:sz w:val="22"/>
          <w:szCs w:val="22"/>
        </w:rPr>
        <w:t>AI Skills Development — introducing AI tools that improve efficiency and workflow automation.</w:t>
      </w:r>
    </w:p>
    <w:p w14:paraId="AB249F67">
      <w:pPr>
        <w:pStyle w:val="style179"/>
        <w:numPr>
          <w:ilvl w:val="0"/>
          <w:numId w:val="1"/>
        </w:numPr>
        <w:spacing w:after="60"/>
        <w:rPr/>
      </w:pPr>
      <w:r>
        <w:rPr>
          <w:sz w:val="22"/>
          <w:szCs w:val="22"/>
        </w:rPr>
        <w:t>Educator Support — helping teachers integrate AI and technology into classrooms.</w:t>
      </w:r>
    </w:p>
    <w:p w14:paraId="58E305CE">
      <w:pPr>
        <w:pStyle w:val="style179"/>
        <w:numPr>
          <w:ilvl w:val="0"/>
          <w:numId w:val="1"/>
        </w:numPr>
        <w:spacing w:after="60"/>
        <w:rPr/>
      </w:pPr>
      <w:r>
        <w:rPr>
          <w:sz w:val="22"/>
          <w:szCs w:val="22"/>
        </w:rPr>
        <w:t>Academic Collaboration — working with universities to align training with academic standards and certification frameworks.</w:t>
      </w:r>
    </w:p>
    <w:p w14:paraId="D8BA637C">
      <w:pPr>
        <w:pStyle w:val="style179"/>
        <w:numPr>
          <w:ilvl w:val="0"/>
          <w:numId w:val="1"/>
        </w:numPr>
        <w:spacing w:after="60"/>
        <w:rPr/>
      </w:pPr>
      <w:r>
        <w:rPr>
          <w:sz w:val="22"/>
          <w:szCs w:val="22"/>
        </w:rPr>
        <w:t>Technical Trades &amp; Green Economy Skills — solar installation, electrical trades, and renewable energy maintenance for unemployed youth.</w:t>
      </w:r>
    </w:p>
    <w:p w14:paraId="93293838">
      <w:pPr>
        <w:pStyle w:val="style179"/>
        <w:numPr>
          <w:ilvl w:val="0"/>
          <w:numId w:val="1"/>
        </w:numPr>
        <w:spacing w:after="60"/>
        <w:rPr/>
      </w:pPr>
      <w:r>
        <w:rPr>
          <w:sz w:val="22"/>
          <w:szCs w:val="22"/>
        </w:rPr>
        <w:t>Entrepreneurial Skills — hydroponics, vertical farming, landscaping, beauty technician training and small-business support.</w:t>
      </w:r>
    </w:p>
    <w:p w14:paraId="7D4ED0BB">
      <w:pPr>
        <w:pStyle w:val="style4097"/>
        <w:pBdr>
          <w:bottom w:val="single" w:sz="6" w:space="4" w:color="1f3864"/>
        </w:pBdr>
        <w:spacing w:before="360" w:after="160"/>
        <w:rPr/>
      </w:pPr>
      <w:r>
        <w:rPr>
          <w:b/>
          <w:bCs/>
          <w:color w:val="1f3864"/>
          <w:sz w:val="30"/>
          <w:szCs w:val="30"/>
        </w:rPr>
        <w:t>6. What We Do — Services Offered</w:t>
      </w:r>
    </w:p>
    <w:p w14:paraId="1B21EA03">
      <w:pPr>
        <w:pStyle w:val="style4098"/>
        <w:spacing w:before="260" w:after="120"/>
        <w:rPr/>
      </w:pPr>
      <w:r>
        <w:rPr>
          <w:b/>
          <w:bCs/>
          <w:color w:val="b8860b"/>
          <w:sz w:val="24"/>
          <w:szCs w:val="24"/>
        </w:rPr>
        <w:t>6.1 Digital &amp; AI Skills Training</w:t>
      </w:r>
    </w:p>
    <w:p w14:paraId="87FC2DFE">
      <w:pPr>
        <w:pStyle w:val="style179"/>
        <w:numPr>
          <w:ilvl w:val="0"/>
          <w:numId w:val="1"/>
        </w:numPr>
        <w:spacing w:after="60"/>
        <w:rPr/>
      </w:pPr>
      <w:r>
        <w:rPr>
          <w:sz w:val="22"/>
          <w:szCs w:val="22"/>
        </w:rPr>
        <w:t>Workplace Digital Skills Training — upskilling staff in advanced Excel, report automation, and AI integration.</w:t>
      </w:r>
    </w:p>
    <w:p w14:paraId="2C361A26">
      <w:pPr>
        <w:pStyle w:val="style179"/>
        <w:numPr>
          <w:ilvl w:val="0"/>
          <w:numId w:val="1"/>
        </w:numPr>
        <w:spacing w:after="60"/>
        <w:rPr/>
      </w:pPr>
      <w:r>
        <w:rPr>
          <w:sz w:val="22"/>
          <w:szCs w:val="22"/>
        </w:rPr>
        <w:t>AI Literacy for Educators — training teachers to incorporate AI tools into lesson planning, assessment and admin.</w:t>
      </w:r>
    </w:p>
    <w:p w14:paraId="9E6FEDE6">
      <w:pPr>
        <w:pStyle w:val="style179"/>
        <w:numPr>
          <w:ilvl w:val="0"/>
          <w:numId w:val="1"/>
        </w:numPr>
        <w:spacing w:after="60"/>
        <w:rPr/>
      </w:pPr>
      <w:r>
        <w:rPr>
          <w:sz w:val="22"/>
          <w:szCs w:val="22"/>
        </w:rPr>
        <w:t>Community Empowerment — foundational computer and digital skills workshops for local communities.</w:t>
      </w:r>
    </w:p>
    <w:p w14:paraId="E80FF5CA">
      <w:pPr>
        <w:pStyle w:val="style179"/>
        <w:numPr>
          <w:ilvl w:val="0"/>
          <w:numId w:val="1"/>
        </w:numPr>
        <w:spacing w:after="60"/>
        <w:rPr/>
      </w:pPr>
      <w:r>
        <w:rPr>
          <w:sz w:val="22"/>
          <w:szCs w:val="22"/>
        </w:rPr>
        <w:t>Corporate Training — helping SMEs adopt AI and modern technology for operational efficiency.</w:t>
      </w:r>
    </w:p>
    <w:p w14:paraId="006C4A0B">
      <w:pPr>
        <w:pStyle w:val="style179"/>
        <w:numPr>
          <w:ilvl w:val="0"/>
          <w:numId w:val="1"/>
        </w:numPr>
        <w:spacing w:after="60"/>
        <w:rPr/>
      </w:pPr>
      <w:r>
        <w:rPr>
          <w:sz w:val="22"/>
          <w:szCs w:val="22"/>
        </w:rPr>
        <w:t>Curriculum Development &amp; Mentorship — partnering with universities to align training with national education standards.</w:t>
      </w:r>
    </w:p>
    <w:p w14:paraId="6A4D44BF">
      <w:pPr>
        <w:pStyle w:val="style4098"/>
        <w:spacing w:before="260" w:after="120"/>
        <w:rPr/>
      </w:pPr>
      <w:r>
        <w:rPr>
          <w:b/>
          <w:bCs/>
          <w:color w:val="b8860b"/>
          <w:sz w:val="24"/>
          <w:szCs w:val="24"/>
        </w:rPr>
        <w:t>6.2 Youth Skills &amp; Technical Trades Training</w:t>
      </w:r>
    </w:p>
    <w:p w14:paraId="D8CF1742">
      <w:pPr>
        <w:pStyle w:val="style179"/>
        <w:numPr>
          <w:ilvl w:val="0"/>
          <w:numId w:val="1"/>
        </w:numPr>
        <w:spacing w:after="60"/>
        <w:rPr/>
      </w:pPr>
      <w:r>
        <w:rPr>
          <w:sz w:val="22"/>
          <w:szCs w:val="22"/>
        </w:rPr>
        <w:t>Foundational Skills Training — basic computer literacy, occupational health and safety (OHS), project management, and monitoring &amp; evaluation.</w:t>
      </w:r>
    </w:p>
    <w:p w14:paraId="EAD18E40">
      <w:pPr>
        <w:pStyle w:val="style179"/>
        <w:numPr>
          <w:ilvl w:val="0"/>
          <w:numId w:val="1"/>
        </w:numPr>
        <w:spacing w:after="60"/>
        <w:rPr/>
      </w:pPr>
      <w:r>
        <w:rPr>
          <w:sz w:val="22"/>
          <w:szCs w:val="22"/>
        </w:rPr>
        <w:t>Technical Trades Training — plumbing, bricklaying, electrical engineering, appliance repair, and construction skills.</w:t>
      </w:r>
    </w:p>
    <w:p w14:paraId="942997E1">
      <w:pPr>
        <w:pStyle w:val="style179"/>
        <w:numPr>
          <w:ilvl w:val="0"/>
          <w:numId w:val="1"/>
        </w:numPr>
        <w:spacing w:after="60"/>
        <w:rPr/>
      </w:pPr>
      <w:r>
        <w:rPr>
          <w:sz w:val="22"/>
          <w:szCs w:val="22"/>
        </w:rPr>
        <w:t>Green Economy &amp; Renewable Energy Training — solar installation, wind turbine servicing, battery energy storage systems.</w:t>
      </w:r>
    </w:p>
    <w:p w14:paraId="785F6455">
      <w:pPr>
        <w:pStyle w:val="style179"/>
        <w:numPr>
          <w:ilvl w:val="0"/>
          <w:numId w:val="1"/>
        </w:numPr>
        <w:spacing w:after="60"/>
        <w:rPr/>
      </w:pPr>
      <w:r>
        <w:rPr>
          <w:sz w:val="22"/>
          <w:szCs w:val="22"/>
        </w:rPr>
        <w:t>Entrepreneurial Skills Training — hydroponics and vertical farming, landscaping, and beauty technician training.</w:t>
      </w:r>
    </w:p>
    <w:p w14:paraId="EFF59841">
      <w:pPr>
        <w:pStyle w:val="style179"/>
        <w:numPr>
          <w:ilvl w:val="0"/>
          <w:numId w:val="1"/>
        </w:numPr>
        <w:spacing w:after="60"/>
        <w:rPr/>
      </w:pPr>
      <w:r>
        <w:rPr>
          <w:sz w:val="22"/>
          <w:szCs w:val="22"/>
        </w:rPr>
        <w:t>Emerging Technology Skills — introduction to AI and digital marketing for youth and small businesses.</w:t>
      </w:r>
    </w:p>
    <w:p w14:paraId="CC0EE87B">
      <w:pPr>
        <w:pStyle w:val="style179"/>
        <w:numPr>
          <w:ilvl w:val="0"/>
          <w:numId w:val="1"/>
        </w:numPr>
        <w:spacing w:after="60"/>
        <w:rPr/>
      </w:pPr>
      <w:r>
        <w:rPr>
          <w:sz w:val="22"/>
          <w:szCs w:val="22"/>
        </w:rPr>
        <w:t>In-Service Placement — coordinating with local businesses for practical workplace experience and learnerships.</w:t>
      </w:r>
    </w:p>
    <w:p w14:paraId="98531BDE">
      <w:pPr>
        <w:pStyle w:val="style4097"/>
        <w:pBdr>
          <w:bottom w:val="single" w:sz="6" w:space="4" w:color="1f3864"/>
        </w:pBdr>
        <w:spacing w:before="360" w:after="160"/>
        <w:rPr/>
      </w:pPr>
      <w:r>
        <w:rPr>
          <w:b/>
          <w:bCs/>
          <w:color w:val="1f3864"/>
          <w:sz w:val="30"/>
          <w:szCs w:val="30"/>
        </w:rPr>
        <w:t>7. Flagship Programme: AI Foundations for South African Teachers</w:t>
      </w:r>
    </w:p>
    <w:p w14:paraId="B506F0D0">
      <w:pPr>
        <w:pStyle w:val="style0"/>
        <w:spacing w:after="140" w:lineRule="auto" w:line="276"/>
        <w:rPr/>
      </w:pPr>
      <w:r>
        <w:rPr>
          <w:sz w:val="22"/>
          <w:szCs w:val="22"/>
        </w:rPr>
        <w:t>Thuto Letlotlo's flagship educator programme is a practical, hands-on AI training course for teachers, delivered over 2 days (12 hours) or 6 weekly sessions, covering 10 modules — from AI foundations and prompt engineering through to lesson planning, assessment creation, administrative productivity, ethics, and future skills. Every participant leaves with a ready-to-use teaching portfolio (lesson plans, assessments, worksheets, rubrics, and more).</w:t>
      </w:r>
    </w:p>
    <w:p w14:paraId="184736F8">
      <w:pPr>
        <w:pStyle w:val="style0"/>
        <w:spacing w:after="140" w:lineRule="auto" w:line="276"/>
        <w:rPr/>
      </w:pPr>
      <w:r>
        <w:rPr>
          <w:sz w:val="22"/>
          <w:szCs w:val="22"/>
        </w:rPr>
        <w:t>Delivery options include face-to-face workshops, online live training, self-paced learning, whole-school training, and holiday boot camps. The programme is CAPS-aligned, practical, beginner-friendly, ethical, affordable, and localised for South African schools.</w:t>
      </w:r>
    </w:p>
    <w:p w14:paraId="2ADF379D">
      <w:pPr>
        <w:pStyle w:val="style0"/>
        <w:spacing w:after="140" w:lineRule="auto" w:line="276"/>
        <w:rPr/>
      </w:pPr>
      <w:r>
        <w:rPr>
          <w:sz w:val="22"/>
          <w:szCs w:val="22"/>
        </w:rPr>
        <w:t>Value proposition for schools: up to 50–70% reduction in time spent on routine administrative tasks, improved consistency of lesson planning and assessments, increased teacher confidence with emerging technology, and better learner engagement.</w:t>
      </w:r>
    </w:p>
    <w:p w14:paraId="E154AA8D">
      <w:pPr>
        <w:pStyle w:val="style4097"/>
        <w:pBdr>
          <w:bottom w:val="single" w:sz="6" w:space="4" w:color="1f3864"/>
        </w:pBdr>
        <w:spacing w:before="360" w:after="160"/>
        <w:rPr/>
      </w:pPr>
      <w:r>
        <w:rPr>
          <w:b/>
          <w:bCs/>
          <w:color w:val="1f3864"/>
          <w:sz w:val="30"/>
          <w:szCs w:val="30"/>
        </w:rPr>
        <w:t>8. Flagship Programme: Solar for Schools, Skills for Youth</w:t>
      </w:r>
    </w:p>
    <w:p w14:paraId="96557E8C">
      <w:pPr>
        <w:pStyle w:val="style0"/>
        <w:spacing w:after="140" w:lineRule="auto" w:line="276"/>
        <w:rPr/>
      </w:pPr>
      <w:r>
        <w:rPr>
          <w:sz w:val="22"/>
          <w:szCs w:val="22"/>
        </w:rPr>
        <w:t>This project pairs rooftop solar installation on Matjhabeschools with accredited renewable-energy skills training for 175 unemployed and out-of-school youth (100 female, 75 male, 15 with disabilities). Trainees gain supervised, hands-on experience by working alongside accredited installers on real school rooftop installations, before progressing to certification and placement into traineeships, learnerships, or self-employment — including ongoing maintenance contracts.</w:t>
      </w:r>
    </w:p>
    <w:p w14:paraId="D46E99FB">
      <w:pPr>
        <w:pStyle w:val="style0"/>
        <w:spacing w:after="140" w:lineRule="auto" w:line="276"/>
        <w:rPr/>
      </w:pPr>
      <w:r>
        <w:rPr>
          <w:sz w:val="22"/>
          <w:szCs w:val="22"/>
        </w:rPr>
        <w:t>The project is delivered in three phases: (1) Mobilisation and external foundational/OHS training; (2) Installation and in-service technical training; (3) Certification, commissioning and placement. It reduces school electricity costs while building a locally-based renewable energy workforce, helping diversify Matjhabeng's post-mining economy.</w:t>
      </w:r>
    </w:p>
    <w:p w14:paraId="B111490D">
      <w:pPr>
        <w:pStyle w:val="style4098"/>
        <w:spacing w:before="260" w:after="120"/>
        <w:rPr/>
      </w:pPr>
      <w:r>
        <w:rPr>
          <w:b/>
          <w:bCs/>
          <w:color w:val="b8860b"/>
          <w:sz w:val="24"/>
          <w:szCs w:val="24"/>
        </w:rPr>
        <w:t>Alignment with the Sustainable Development Goals</w:t>
      </w:r>
    </w:p>
    <w:p w14:paraId="AC0B12C1">
      <w:pPr>
        <w:pStyle w:val="style179"/>
        <w:numPr>
          <w:ilvl w:val="0"/>
          <w:numId w:val="1"/>
        </w:numPr>
        <w:spacing w:after="60"/>
        <w:rPr/>
      </w:pPr>
      <w:r>
        <w:rPr>
          <w:sz w:val="22"/>
          <w:szCs w:val="22"/>
        </w:rPr>
        <w:t>SDG 4 (Target 4.3) — equal access to affordable technical, vocational and higher education.</w:t>
      </w:r>
    </w:p>
    <w:p w14:paraId="DE5B044F">
      <w:pPr>
        <w:pStyle w:val="style179"/>
        <w:numPr>
          <w:ilvl w:val="0"/>
          <w:numId w:val="1"/>
        </w:numPr>
        <w:spacing w:after="60"/>
        <w:rPr/>
      </w:pPr>
      <w:r>
        <w:rPr>
          <w:sz w:val="22"/>
          <w:szCs w:val="22"/>
        </w:rPr>
        <w:t>SDG 8 (Target 8.6) — promoting youth employment, education and training.</w:t>
      </w:r>
    </w:p>
    <w:p w14:paraId="7B960980">
      <w:pPr>
        <w:pStyle w:val="style179"/>
        <w:numPr>
          <w:ilvl w:val="0"/>
          <w:numId w:val="1"/>
        </w:numPr>
        <w:spacing w:after="60"/>
        <w:rPr/>
      </w:pPr>
      <w:r>
        <w:rPr>
          <w:sz w:val="22"/>
          <w:szCs w:val="22"/>
        </w:rPr>
        <w:t>SDG 7 — increasing access to affordable, clean and reliable energy for schools.</w:t>
      </w:r>
    </w:p>
    <w:p w14:paraId="6807D7F2">
      <w:pPr>
        <w:pStyle w:val="style4097"/>
        <w:pBdr>
          <w:bottom w:val="single" w:sz="6" w:space="4" w:color="1f3864"/>
        </w:pBdr>
        <w:spacing w:before="360" w:after="160"/>
        <w:rPr/>
      </w:pPr>
      <w:r>
        <w:rPr>
          <w:b/>
          <w:bCs/>
          <w:color w:val="1f3864"/>
          <w:sz w:val="30"/>
          <w:szCs w:val="30"/>
        </w:rPr>
        <w:t>9. Target Beneficiaries</w:t>
      </w:r>
    </w:p>
    <w:p w14:paraId="C37896B3">
      <w:pPr>
        <w:pStyle w:val="style179"/>
        <w:numPr>
          <w:ilvl w:val="0"/>
          <w:numId w:val="1"/>
        </w:numPr>
        <w:spacing w:after="60"/>
        <w:rPr/>
      </w:pPr>
      <w:r>
        <w:rPr>
          <w:sz w:val="22"/>
          <w:szCs w:val="22"/>
        </w:rPr>
        <w:t>Educators and facilitators</w:t>
      </w:r>
    </w:p>
    <w:p w14:paraId="384F50AB">
      <w:pPr>
        <w:pStyle w:val="style179"/>
        <w:numPr>
          <w:ilvl w:val="0"/>
          <w:numId w:val="1"/>
        </w:numPr>
        <w:spacing w:after="60"/>
        <w:rPr/>
      </w:pPr>
      <w:r>
        <w:rPr>
          <w:sz w:val="22"/>
          <w:szCs w:val="22"/>
        </w:rPr>
        <w:t>Office administrators and clerks</w:t>
      </w:r>
    </w:p>
    <w:p w14:paraId="9EACE3AF">
      <w:pPr>
        <w:pStyle w:val="style179"/>
        <w:numPr>
          <w:ilvl w:val="0"/>
          <w:numId w:val="1"/>
        </w:numPr>
        <w:spacing w:after="60"/>
        <w:rPr/>
      </w:pPr>
      <w:r>
        <w:rPr>
          <w:sz w:val="22"/>
          <w:szCs w:val="22"/>
        </w:rPr>
        <w:t>Youth and graduates entering the job market</w:t>
      </w:r>
    </w:p>
    <w:p w14:paraId="71867E8E">
      <w:pPr>
        <w:pStyle w:val="style179"/>
        <w:numPr>
          <w:ilvl w:val="0"/>
          <w:numId w:val="1"/>
        </w:numPr>
        <w:spacing w:after="60"/>
        <w:rPr/>
      </w:pPr>
      <w:r>
        <w:rPr>
          <w:sz w:val="22"/>
          <w:szCs w:val="22"/>
        </w:rPr>
        <w:t>Unemployed and out-of-school youth (NEET) in the Matjhabeng region</w:t>
      </w:r>
    </w:p>
    <w:p w14:paraId="1CB110C0">
      <w:pPr>
        <w:pStyle w:val="style179"/>
        <w:numPr>
          <w:ilvl w:val="0"/>
          <w:numId w:val="1"/>
        </w:numPr>
        <w:spacing w:after="60"/>
        <w:rPr/>
      </w:pPr>
      <w:r>
        <w:rPr>
          <w:sz w:val="22"/>
          <w:szCs w:val="22"/>
        </w:rPr>
        <w:t>Small business owners</w:t>
      </w:r>
    </w:p>
    <w:p w14:paraId="BAE447DE">
      <w:pPr>
        <w:pStyle w:val="style179"/>
        <w:numPr>
          <w:ilvl w:val="0"/>
          <w:numId w:val="1"/>
        </w:numPr>
        <w:spacing w:after="60"/>
        <w:rPr/>
      </w:pPr>
      <w:r>
        <w:rPr>
          <w:sz w:val="22"/>
          <w:szCs w:val="22"/>
        </w:rPr>
        <w:t>Community members seeking digital empowerment</w:t>
      </w:r>
    </w:p>
    <w:p w14:paraId="1894D560">
      <w:pPr>
        <w:pStyle w:val="style179"/>
        <w:numPr>
          <w:ilvl w:val="0"/>
          <w:numId w:val="1"/>
        </w:numPr>
        <w:spacing w:after="60"/>
        <w:rPr/>
      </w:pPr>
      <w:r>
        <w:rPr>
          <w:sz w:val="22"/>
          <w:szCs w:val="22"/>
        </w:rPr>
        <w:t>Schools seeking lower electricity costs and more reliable power</w:t>
      </w:r>
    </w:p>
    <w:p w14:paraId="82FB3B1A">
      <w:pPr>
        <w:pStyle w:val="style4097"/>
        <w:pBdr>
          <w:bottom w:val="single" w:sz="6" w:space="4" w:color="1f3864"/>
        </w:pBdr>
        <w:spacing w:before="360" w:after="160"/>
        <w:rPr/>
      </w:pPr>
      <w:r>
        <w:rPr>
          <w:b/>
          <w:bCs/>
          <w:color w:val="1f3864"/>
          <w:sz w:val="30"/>
          <w:szCs w:val="30"/>
        </w:rPr>
        <w:t>10. How We Work — Phased Delivery Model</w:t>
      </w:r>
    </w:p>
    <w:p w14:paraId="0453B968">
      <w:pPr>
        <w:pStyle w:val="style179"/>
        <w:numPr>
          <w:ilvl w:val="0"/>
          <w:numId w:val="1"/>
        </w:numPr>
        <w:spacing w:after="60"/>
        <w:rPr/>
      </w:pPr>
      <w:r>
        <w:rPr>
          <w:sz w:val="22"/>
          <w:szCs w:val="22"/>
        </w:rPr>
        <w:t>Phase 1 — External Training: learners receive foundational training from accredited external trainers outsourced by Thuto Letlotlo.</w:t>
      </w:r>
    </w:p>
    <w:p w14:paraId="FF49D914">
      <w:pPr>
        <w:pStyle w:val="style179"/>
        <w:numPr>
          <w:ilvl w:val="0"/>
          <w:numId w:val="1"/>
        </w:numPr>
        <w:spacing w:after="60"/>
        <w:rPr/>
      </w:pPr>
      <w:r>
        <w:rPr>
          <w:sz w:val="22"/>
          <w:szCs w:val="22"/>
        </w:rPr>
        <w:t>Phase 2 — In-House / In-Service Training: continuous courses facilitated in-house with accredited trainers; learners gain supervised, practical, on-site experience.</w:t>
      </w:r>
    </w:p>
    <w:p w14:paraId="12D0DEDC">
      <w:pPr>
        <w:pStyle w:val="style179"/>
        <w:numPr>
          <w:ilvl w:val="0"/>
          <w:numId w:val="1"/>
        </w:numPr>
        <w:spacing w:after="60"/>
        <w:rPr/>
      </w:pPr>
      <w:r>
        <w:rPr>
          <w:sz w:val="22"/>
          <w:szCs w:val="22"/>
        </w:rPr>
        <w:t>Phase 3 — Placement: learners are placed into traineeships, learnerships, or self-employment/maintenance contracts.</w:t>
      </w:r>
    </w:p>
    <w:p w14:paraId="8A3EE22A">
      <w:pPr>
        <w:pStyle w:val="style4098"/>
        <w:spacing w:before="260" w:after="120"/>
        <w:rPr/>
      </w:pPr>
      <w:r>
        <w:rPr>
          <w:b/>
          <w:bCs/>
          <w:color w:val="b8860b"/>
          <w:sz w:val="24"/>
          <w:szCs w:val="24"/>
        </w:rPr>
        <w:t>Quality Assurance and Monitoring</w:t>
      </w:r>
    </w:p>
    <w:p w14:paraId="E686C57E">
      <w:pPr>
        <w:pStyle w:val="style179"/>
        <w:numPr>
          <w:ilvl w:val="0"/>
          <w:numId w:val="1"/>
        </w:numPr>
        <w:spacing w:after="60"/>
        <w:rPr/>
      </w:pPr>
      <w:r>
        <w:rPr>
          <w:sz w:val="22"/>
          <w:szCs w:val="22"/>
        </w:rPr>
        <w:t>Accredited Pathways — training models leverage accredited partners to meet national qualification standards.</w:t>
      </w:r>
    </w:p>
    <w:p w14:paraId="5416CC63">
      <w:pPr>
        <w:pStyle w:val="style179"/>
        <w:numPr>
          <w:ilvl w:val="0"/>
          <w:numId w:val="1"/>
        </w:numPr>
        <w:spacing w:after="60"/>
        <w:rPr/>
      </w:pPr>
      <w:r>
        <w:rPr>
          <w:sz w:val="22"/>
          <w:szCs w:val="22"/>
        </w:rPr>
        <w:t>Performance Monitoring — rigorous tracking of learner progress, pre- and post-assessments, and post-placement outcomes.</w:t>
      </w:r>
    </w:p>
    <w:p w14:paraId="5BF942C5">
      <w:pPr>
        <w:pStyle w:val="style179"/>
        <w:numPr>
          <w:ilvl w:val="0"/>
          <w:numId w:val="1"/>
        </w:numPr>
        <w:spacing w:after="60"/>
        <w:rPr/>
      </w:pPr>
      <w:r>
        <w:rPr>
          <w:sz w:val="22"/>
          <w:szCs w:val="22"/>
        </w:rPr>
        <w:t>Compliance Culture — ongoing CIPC compliance and financial accountability as required by the Companies Act.</w:t>
      </w:r>
    </w:p>
    <w:p w14:paraId="C8BDC223">
      <w:pPr>
        <w:pStyle w:val="style4097"/>
        <w:pBdr>
          <w:bottom w:val="single" w:sz="6" w:space="4" w:color="1f3864"/>
        </w:pBdr>
        <w:spacing w:before="360" w:after="160"/>
        <w:rPr/>
      </w:pPr>
      <w:r>
        <w:rPr>
          <w:b/>
          <w:bCs/>
          <w:color w:val="1f3864"/>
          <w:sz w:val="30"/>
          <w:szCs w:val="30"/>
        </w:rPr>
        <w:t>11. Governance and Compliance</w:t>
      </w:r>
    </w:p>
    <w:p w14:paraId="3DAD8FF0">
      <w:pPr>
        <w:pStyle w:val="style0"/>
        <w:spacing w:after="140" w:lineRule="auto" w:line="276"/>
        <w:rPr/>
      </w:pPr>
      <w:r>
        <w:rPr>
          <w:sz w:val="22"/>
          <w:szCs w:val="22"/>
        </w:rPr>
        <w:t>Thuto Letlotlo NPC operates under the South African Companies Act (Act 71 of 2008) and complies with all requirements for non-profit entities. The organisation maintains good standing with the Companies and Intellectual Property Commission (CIPC), including up-to-date annual return filings and financial accountability reporting. Thuto Letlotlo maintains transparent governance and ethical conduct, and is fully compliant with POPIA (Protection of Personal Information Act) standards for data protection.</w:t>
      </w:r>
    </w:p>
    <w:p w14:paraId="7569B37D">
      <w:pPr>
        <w:pStyle w:val="style4097"/>
        <w:pBdr>
          <w:bottom w:val="single" w:sz="6" w:space="4" w:color="1f3864"/>
        </w:pBdr>
        <w:spacing w:before="360" w:after="160"/>
        <w:rPr/>
      </w:pPr>
      <w:r>
        <w:rPr>
          <w:b/>
          <w:bCs/>
          <w:color w:val="1f3864"/>
          <w:sz w:val="30"/>
          <w:szCs w:val="30"/>
        </w:rPr>
        <w:t>12. Directors</w:t>
      </w:r>
    </w:p>
    <w:p w14:paraId="928059AC">
      <w:pPr>
        <w:pStyle w:val="style0"/>
        <w:spacing w:after="140" w:lineRule="auto" w:line="276"/>
        <w:rPr/>
      </w:pPr>
      <w:r>
        <w:rPr>
          <w:sz w:val="22"/>
          <w:szCs w:val="22"/>
        </w:rPr>
        <w:t>As per Thuto Letlotlo NPC's official registration records, the organisation's directors are:</w:t>
      </w:r>
    </w:p>
    <w:p w14:paraId="13E0181D">
      <w:pPr>
        <w:pStyle w:val="style179"/>
        <w:numPr>
          <w:ilvl w:val="0"/>
          <w:numId w:val="1"/>
        </w:numPr>
        <w:spacing w:after="60"/>
        <w:rPr/>
      </w:pPr>
      <w:r>
        <w:rPr>
          <w:sz w:val="22"/>
          <w:szCs w:val="22"/>
        </w:rPr>
        <w:t>Mr Sithembiso Steven Nel</w:t>
      </w:r>
    </w:p>
    <w:p w14:paraId="0DA86D95">
      <w:pPr>
        <w:pStyle w:val="style179"/>
        <w:numPr>
          <w:ilvl w:val="0"/>
          <w:numId w:val="1"/>
        </w:numPr>
        <w:spacing w:after="60"/>
        <w:rPr/>
      </w:pPr>
      <w:r>
        <w:rPr>
          <w:sz w:val="22"/>
          <w:szCs w:val="22"/>
        </w:rPr>
        <w:t>Ms Mamelang Pricilla Ramolula</w:t>
      </w:r>
    </w:p>
    <w:p w14:paraId="3D7D8C88">
      <w:pPr>
        <w:pStyle w:val="style179"/>
        <w:numPr>
          <w:ilvl w:val="0"/>
          <w:numId w:val="1"/>
        </w:numPr>
        <w:spacing w:after="60"/>
        <w:rPr/>
      </w:pPr>
      <w:r>
        <w:rPr>
          <w:sz w:val="22"/>
          <w:szCs w:val="22"/>
        </w:rPr>
        <w:t>Ms Dimakatso Ntsane</w:t>
      </w:r>
    </w:p>
    <w:p w14:paraId="3CAFD614">
      <w:pPr>
        <w:pStyle w:val="style4097"/>
        <w:pBdr>
          <w:bottom w:val="single" w:sz="6" w:space="4" w:color="1f3864"/>
        </w:pBdr>
        <w:spacing w:before="360" w:after="160"/>
        <w:rPr/>
      </w:pPr>
      <w:r>
        <w:rPr>
          <w:b/>
          <w:bCs/>
          <w:color w:val="1f3864"/>
          <w:sz w:val="30"/>
          <w:szCs w:val="30"/>
        </w:rPr>
        <w:t>13. Project Team &amp; Qualifications</w:t>
      </w:r>
    </w:p>
    <w:p w14:paraId="F613B48C">
      <w:pPr>
        <w:pStyle w:val="style0"/>
        <w:spacing w:after="140" w:lineRule="auto" w:line="276"/>
        <w:rPr/>
      </w:pPr>
      <w:r>
        <w:rPr>
          <w:sz w:val="22"/>
          <w:szCs w:val="22"/>
        </w:rPr>
        <w:t>Thuto Letlotlo's project and leadership team combines pedagogical, technical, and business expertise:</w:t>
      </w: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2800"/>
        <w:gridCol w:w="6700"/>
      </w:tblGrid>
      <w:tr w14:paraId="A2988C2B">
        <w:trPr/>
        <w:tc>
          <w:tcPr>
            <w:tcW w:w="2800" w:type="dxa"/>
            <w:tcBorders/>
            <w:tcMar>
              <w:top w:w="100" w:type="dxa"/>
              <w:left w:w="120" w:type="dxa"/>
              <w:bottom w:w="100" w:type="dxa"/>
              <w:right w:w="120" w:type="dxa"/>
            </w:tcMar>
          </w:tcPr>
          <w:p w14:paraId="CAB25759">
            <w:pPr>
              <w:pStyle w:val="style0"/>
              <w:rPr/>
            </w:pPr>
            <w:r>
              <w:rPr>
                <w:b w:val="false"/>
                <w:bCs w:val="false"/>
                <w:color w:val="000000"/>
                <w:sz w:val="21"/>
                <w:szCs w:val="21"/>
              </w:rPr>
              <w:t>Mr Sithembiso Nel</w:t>
            </w:r>
          </w:p>
        </w:tc>
        <w:tc>
          <w:tcPr>
            <w:tcW w:w="6700" w:type="dxa"/>
            <w:tcBorders/>
            <w:tcMar>
              <w:top w:w="100" w:type="dxa"/>
              <w:left w:w="120" w:type="dxa"/>
              <w:bottom w:w="100" w:type="dxa"/>
              <w:right w:w="120" w:type="dxa"/>
            </w:tcMar>
          </w:tcPr>
          <w:p w14:paraId="F8949B4A">
            <w:pPr>
              <w:pStyle w:val="style0"/>
              <w:rPr/>
            </w:pPr>
            <w:r>
              <w:rPr>
                <w:b w:val="false"/>
                <w:bCs w:val="false"/>
                <w:color w:val="000000"/>
                <w:sz w:val="21"/>
                <w:szCs w:val="21"/>
              </w:rPr>
              <w:t>Master of Business Administration (MBA) candidate; Postgraduate qualification in Public Management (Honours)</w:t>
            </w:r>
          </w:p>
        </w:tc>
      </w:tr>
      <w:tr w14:paraId="E7726FE3">
        <w:tblPrEx/>
        <w:trPr/>
        <w:tc>
          <w:tcPr>
            <w:tcW w:w="2800" w:type="dxa"/>
            <w:tcBorders/>
            <w:tcMar>
              <w:top w:w="100" w:type="dxa"/>
              <w:left w:w="120" w:type="dxa"/>
              <w:bottom w:w="100" w:type="dxa"/>
              <w:right w:w="120" w:type="dxa"/>
            </w:tcMar>
          </w:tcPr>
          <w:p w14:paraId="DB35D321">
            <w:pPr>
              <w:pStyle w:val="style0"/>
              <w:rPr/>
            </w:pPr>
            <w:r>
              <w:rPr>
                <w:b w:val="false"/>
                <w:bCs w:val="false"/>
                <w:color w:val="000000"/>
                <w:sz w:val="21"/>
                <w:szCs w:val="21"/>
              </w:rPr>
              <w:t>Ms Mamelang Ramolula</w:t>
            </w:r>
          </w:p>
        </w:tc>
        <w:tc>
          <w:tcPr>
            <w:tcW w:w="6700" w:type="dxa"/>
            <w:tcBorders/>
            <w:tcMar>
              <w:top w:w="100" w:type="dxa"/>
              <w:left w:w="120" w:type="dxa"/>
              <w:bottom w:w="100" w:type="dxa"/>
              <w:right w:w="120" w:type="dxa"/>
            </w:tcMar>
          </w:tcPr>
          <w:p w14:paraId="7A507F51">
            <w:pPr>
              <w:pStyle w:val="style0"/>
              <w:rPr/>
            </w:pPr>
            <w:r>
              <w:rPr>
                <w:b w:val="false"/>
                <w:bCs w:val="false"/>
                <w:color w:val="000000"/>
                <w:sz w:val="21"/>
                <w:szCs w:val="21"/>
              </w:rPr>
              <w:t>Bachelor of Science in Geology; Postgraduate Diploma in Education</w:t>
            </w:r>
          </w:p>
        </w:tc>
      </w:tr>
      <w:tr w14:paraId="A873623C">
        <w:tblPrEx/>
        <w:trPr/>
        <w:tc>
          <w:tcPr>
            <w:tcW w:w="2800" w:type="dxa"/>
            <w:tcBorders/>
            <w:tcMar>
              <w:top w:w="100" w:type="dxa"/>
              <w:left w:w="120" w:type="dxa"/>
              <w:bottom w:w="100" w:type="dxa"/>
              <w:right w:w="120" w:type="dxa"/>
            </w:tcMar>
          </w:tcPr>
          <w:p w14:paraId="37C2C486">
            <w:pPr>
              <w:pStyle w:val="style0"/>
              <w:rPr/>
            </w:pPr>
            <w:r>
              <w:rPr>
                <w:b w:val="false"/>
                <w:bCs w:val="false"/>
                <w:color w:val="000000"/>
                <w:sz w:val="21"/>
                <w:szCs w:val="21"/>
              </w:rPr>
              <w:t>Ms Mwansa Makubalo</w:t>
            </w:r>
          </w:p>
        </w:tc>
        <w:tc>
          <w:tcPr>
            <w:tcW w:w="6700" w:type="dxa"/>
            <w:tcBorders/>
            <w:tcMar>
              <w:top w:w="100" w:type="dxa"/>
              <w:left w:w="120" w:type="dxa"/>
              <w:bottom w:w="100" w:type="dxa"/>
              <w:right w:w="120" w:type="dxa"/>
            </w:tcMar>
          </w:tcPr>
          <w:p w14:paraId="09E5BA45">
            <w:pPr>
              <w:pStyle w:val="style0"/>
              <w:rPr/>
            </w:pPr>
            <w:r>
              <w:rPr>
                <w:b w:val="false"/>
                <w:bCs w:val="false"/>
                <w:color w:val="000000"/>
                <w:sz w:val="21"/>
                <w:szCs w:val="21"/>
              </w:rPr>
              <w:t>MSc in International Development; BA (Honours) in International Business Management</w:t>
            </w:r>
          </w:p>
        </w:tc>
      </w:tr>
      <w:tr w14:paraId="FB542D0C">
        <w:tblPrEx/>
        <w:trPr/>
        <w:tc>
          <w:tcPr>
            <w:tcW w:w="2800" w:type="dxa"/>
            <w:tcBorders/>
            <w:tcMar>
              <w:top w:w="100" w:type="dxa"/>
              <w:left w:w="120" w:type="dxa"/>
              <w:bottom w:w="100" w:type="dxa"/>
              <w:right w:w="120" w:type="dxa"/>
            </w:tcMar>
          </w:tcPr>
          <w:p w14:paraId="AA2065E1">
            <w:pPr>
              <w:pStyle w:val="style0"/>
              <w:rPr/>
            </w:pPr>
            <w:r>
              <w:rPr>
                <w:b w:val="false"/>
                <w:bCs w:val="false"/>
                <w:color w:val="000000"/>
                <w:sz w:val="21"/>
                <w:szCs w:val="21"/>
              </w:rPr>
              <w:t>Mr Mutunga Mabaso</w:t>
            </w:r>
          </w:p>
        </w:tc>
        <w:tc>
          <w:tcPr>
            <w:tcW w:w="6700" w:type="dxa"/>
            <w:tcBorders/>
            <w:tcMar>
              <w:top w:w="100" w:type="dxa"/>
              <w:left w:w="120" w:type="dxa"/>
              <w:bottom w:w="100" w:type="dxa"/>
              <w:right w:w="120" w:type="dxa"/>
            </w:tcMar>
          </w:tcPr>
          <w:p w14:paraId="0A1B3862">
            <w:pPr>
              <w:pStyle w:val="style0"/>
              <w:rPr/>
            </w:pPr>
            <w:r>
              <w:rPr>
                <w:b w:val="false"/>
                <w:bCs w:val="false"/>
                <w:color w:val="000000"/>
                <w:sz w:val="21"/>
                <w:szCs w:val="21"/>
              </w:rPr>
              <w:t>Electrical Engineer and Project Manager (ETQA); CPD and QCTO certified; registered with SACPCMP</w:t>
            </w:r>
          </w:p>
        </w:tc>
      </w:tr>
    </w:tbl>
    <w:p w14:paraId="B3930844">
      <w:pPr>
        <w:pStyle w:val="style0"/>
        <w:spacing w:after="140" w:lineRule="auto" w:line="276"/>
        <w:rPr/>
      </w:pPr>
    </w:p>
    <w:p w14:paraId="6BD07DEA">
      <w:pPr>
        <w:pStyle w:val="style0"/>
        <w:spacing w:after="140" w:lineRule="auto" w:line="276"/>
        <w:rPr/>
      </w:pPr>
      <w:r>
        <w:rPr>
          <w:i/>
          <w:iCs/>
          <w:sz w:val="22"/>
          <w:szCs w:val="22"/>
        </w:rPr>
        <w:t>The broader team also includes two qualified educators (pedagogical credibility and CAPS-aligned content design), a business administration lead (operations, compliance and reporting), civil engineering expertise (STEAM tutoring and STEM–AI integration), and a business development strategist (partnerships and funding). The organisation has identified building dedicated Microsoft-certified training capacity as a near-term priority to strengthen credibility with Microsoft and funders.</w:t>
      </w:r>
    </w:p>
    <w:p w14:paraId="B5E6A5B0">
      <w:pPr>
        <w:pStyle w:val="style4097"/>
        <w:pBdr>
          <w:bottom w:val="single" w:sz="6" w:space="4" w:color="1f3864"/>
        </w:pBdr>
        <w:spacing w:before="360" w:after="160"/>
        <w:rPr/>
      </w:pPr>
      <w:r>
        <w:rPr>
          <w:b/>
          <w:bCs/>
          <w:color w:val="1f3864"/>
          <w:sz w:val="30"/>
          <w:szCs w:val="30"/>
        </w:rPr>
        <w:t>14. Organisational Strengths</w:t>
      </w:r>
    </w:p>
    <w:p w14:paraId="9D8B803E">
      <w:pPr>
        <w:pStyle w:val="style179"/>
        <w:numPr>
          <w:ilvl w:val="0"/>
          <w:numId w:val="1"/>
        </w:numPr>
        <w:spacing w:after="60"/>
        <w:rPr/>
      </w:pPr>
      <w:r>
        <w:rPr>
          <w:sz w:val="22"/>
          <w:szCs w:val="22"/>
        </w:rPr>
        <w:t>Managed by qualified teachers and ICT practitioners who combine pedagogy with workplace technology.</w:t>
      </w:r>
    </w:p>
    <w:p w14:paraId="727E8A44">
      <w:pPr>
        <w:pStyle w:val="style179"/>
        <w:numPr>
          <w:ilvl w:val="0"/>
          <w:numId w:val="1"/>
        </w:numPr>
        <w:spacing w:after="60"/>
        <w:rPr/>
      </w:pPr>
      <w:r>
        <w:rPr>
          <w:sz w:val="22"/>
          <w:szCs w:val="22"/>
        </w:rPr>
        <w:t>A blended learning model that ensures participants gain both theoretical understanding and practical, workplace-applicable skills.</w:t>
      </w:r>
    </w:p>
    <w:p w14:paraId="D821607E">
      <w:pPr>
        <w:pStyle w:val="style179"/>
        <w:numPr>
          <w:ilvl w:val="0"/>
          <w:numId w:val="1"/>
        </w:numPr>
        <w:spacing w:after="60"/>
        <w:rPr/>
      </w:pPr>
      <w:r>
        <w:rPr>
          <w:sz w:val="22"/>
          <w:szCs w:val="22"/>
        </w:rPr>
        <w:t>Existing STEAM tutoring revenue base providing operational credibility and cash flow.</w:t>
      </w:r>
    </w:p>
    <w:p w14:paraId="3F428D5C">
      <w:pPr>
        <w:pStyle w:val="style179"/>
        <w:numPr>
          <w:ilvl w:val="0"/>
          <w:numId w:val="1"/>
        </w:numPr>
        <w:spacing w:after="60"/>
        <w:rPr/>
      </w:pPr>
      <w:r>
        <w:rPr>
          <w:sz w:val="22"/>
          <w:szCs w:val="22"/>
        </w:rPr>
        <w:t>Strategic positioning within frameworks Free State institutions already trust: SACE, DBE, ETDPSETA and Microsoft.</w:t>
      </w:r>
    </w:p>
    <w:p w14:paraId="D67BA36A">
      <w:pPr>
        <w:pStyle w:val="style4097"/>
        <w:pBdr>
          <w:bottom w:val="single" w:sz="6" w:space="4" w:color="1f3864"/>
        </w:pBdr>
        <w:spacing w:before="360" w:after="160"/>
        <w:rPr/>
      </w:pPr>
      <w:r>
        <w:rPr>
          <w:b/>
          <w:bCs/>
          <w:color w:val="1f3864"/>
          <w:sz w:val="30"/>
          <w:szCs w:val="30"/>
        </w:rPr>
        <w:t>15. Example of Impact</w:t>
      </w:r>
    </w:p>
    <w:p w14:paraId="C4550C27">
      <w:pPr>
        <w:pStyle w:val="style0"/>
        <w:spacing w:after="140" w:lineRule="auto" w:line="276"/>
        <w:rPr/>
      </w:pPr>
      <w:r>
        <w:rPr>
          <w:sz w:val="22"/>
          <w:szCs w:val="22"/>
        </w:rPr>
        <w:t>Before Training: An employee manually compiles weekly reports, taking approximately 6 hours per week.</w:t>
      </w:r>
    </w:p>
    <w:p w14:paraId="7580B35D">
      <w:pPr>
        <w:pStyle w:val="style0"/>
        <w:spacing w:after="140" w:lineRule="auto" w:line="276"/>
        <w:rPr/>
      </w:pPr>
      <w:r>
        <w:rPr>
          <w:sz w:val="22"/>
          <w:szCs w:val="22"/>
        </w:rPr>
        <w:t>After Training: Using AI-supported Excel and Power Automate tools, the same task is completed in under 2 hours — saving roughly 200 working hours per year, time that can be redirected to higher-value tasks such as client service or innovation.</w:t>
      </w:r>
    </w:p>
    <w:p w14:paraId="FC0909FE">
      <w:pPr>
        <w:pStyle w:val="style0"/>
        <w:spacing w:after="140" w:lineRule="auto" w:line="276"/>
        <w:rPr/>
      </w:pPr>
      <w:r>
        <w:rPr>
          <w:sz w:val="22"/>
          <w:szCs w:val="22"/>
        </w:rPr>
        <w:t>Expected impact of the Solar for Schools programme includes lower school electricity bills and more stable power supply, 175 youth gaining accredited renewable-energy skills, and growth of a sustainable local renewable-energy workforce in Matjhabeng.</w:t>
      </w:r>
    </w:p>
    <w:p w14:paraId="534C3249">
      <w:pPr>
        <w:pStyle w:val="style4097"/>
        <w:pBdr>
          <w:bottom w:val="single" w:sz="6" w:space="4" w:color="1f3864"/>
        </w:pBdr>
        <w:spacing w:before="360" w:after="160"/>
        <w:rPr/>
      </w:pPr>
      <w:r>
        <w:rPr>
          <w:b/>
          <w:bCs/>
          <w:color w:val="1f3864"/>
          <w:sz w:val="30"/>
          <w:szCs w:val="30"/>
        </w:rPr>
        <w:t>16. Strategic Partnership Capacity</w:t>
      </w:r>
    </w:p>
    <w:p w14:paraId="D9B43EE2">
      <w:pPr>
        <w:pStyle w:val="style179"/>
        <w:numPr>
          <w:ilvl w:val="0"/>
          <w:numId w:val="1"/>
        </w:numPr>
        <w:spacing w:after="60"/>
        <w:rPr/>
      </w:pPr>
      <w:r>
        <w:rPr>
          <w:sz w:val="22"/>
          <w:szCs w:val="22"/>
        </w:rPr>
        <w:t>Pipeline Development — preparing secondary school learners for technical and engineering fields.</w:t>
      </w:r>
    </w:p>
    <w:p w14:paraId="DFF37DE4">
      <w:pPr>
        <w:pStyle w:val="style179"/>
        <w:numPr>
          <w:ilvl w:val="0"/>
          <w:numId w:val="1"/>
        </w:numPr>
        <w:spacing w:after="60"/>
        <w:rPr/>
      </w:pPr>
      <w:r>
        <w:rPr>
          <w:sz w:val="22"/>
          <w:szCs w:val="22"/>
        </w:rPr>
        <w:t>Vocational Integration — acting as a localised implementation partner for university-led community outreach and applied research.</w:t>
      </w:r>
    </w:p>
    <w:p w14:paraId="3CF73CAA">
      <w:pPr>
        <w:pStyle w:val="style179"/>
        <w:numPr>
          <w:ilvl w:val="0"/>
          <w:numId w:val="1"/>
        </w:numPr>
        <w:spacing w:after="60"/>
        <w:rPr/>
      </w:pPr>
      <w:r>
        <w:rPr>
          <w:sz w:val="22"/>
          <w:szCs w:val="22"/>
        </w:rPr>
        <w:t>Economic Transition — closing the structural skills gap in post-mining communities.</w:t>
      </w:r>
    </w:p>
    <w:p w14:paraId="51F0B269">
      <w:pPr>
        <w:pStyle w:val="style179"/>
        <w:numPr>
          <w:ilvl w:val="0"/>
          <w:numId w:val="1"/>
        </w:numPr>
        <w:spacing w:after="60"/>
        <w:rPr/>
      </w:pPr>
      <w:r>
        <w:rPr>
          <w:sz w:val="22"/>
          <w:szCs w:val="22"/>
        </w:rPr>
        <w:t>Service Learning — a practical environment for student-led internships or rural-development research.</w:t>
      </w:r>
    </w:p>
    <w:p w14:paraId="790B3ABE">
      <w:pPr>
        <w:pStyle w:val="style179"/>
        <w:numPr>
          <w:ilvl w:val="0"/>
          <w:numId w:val="1"/>
        </w:numPr>
        <w:spacing w:after="60"/>
        <w:rPr/>
      </w:pPr>
      <w:r>
        <w:rPr>
          <w:sz w:val="22"/>
          <w:szCs w:val="22"/>
        </w:rPr>
        <w:t>Industry Liaison — coordinating with regional businesses for workplace experience and maintenance-contract pathways.</w:t>
      </w:r>
    </w:p>
    <w:p w14:paraId="AB791F41">
      <w:pPr>
        <w:pStyle w:val="style179"/>
        <w:numPr>
          <w:ilvl w:val="0"/>
          <w:numId w:val="1"/>
        </w:numPr>
        <w:spacing w:after="60"/>
        <w:rPr/>
      </w:pPr>
      <w:r>
        <w:rPr>
          <w:sz w:val="22"/>
          <w:szCs w:val="22"/>
        </w:rPr>
        <w:t>Digital Literacy Outreach — advancing technological competency across the Matjhabeng community.</w:t>
      </w:r>
    </w:p>
    <w:p w14:paraId="B5B81A8B">
      <w:pPr>
        <w:pStyle w:val="style4097"/>
        <w:pBdr>
          <w:bottom w:val="single" w:sz="6" w:space="4" w:color="1f3864"/>
        </w:pBdr>
        <w:spacing w:before="360" w:after="160"/>
        <w:rPr/>
      </w:pPr>
      <w:r>
        <w:rPr>
          <w:b/>
          <w:bCs/>
          <w:color w:val="1f3864"/>
          <w:sz w:val="30"/>
          <w:szCs w:val="30"/>
        </w:rPr>
        <w:t>17. University Partnership Vision</w:t>
      </w:r>
    </w:p>
    <w:p w14:paraId="FCD9444C">
      <w:pPr>
        <w:pStyle w:val="style0"/>
        <w:spacing w:after="140" w:lineRule="auto" w:line="276"/>
        <w:rPr/>
      </w:pPr>
      <w:r>
        <w:rPr>
          <w:sz w:val="22"/>
          <w:szCs w:val="22"/>
        </w:rPr>
        <w:t>Thuto Letlotlo NPC seeks collaboration with universities to align training modules with academic standards and formal certification pathways, access academic mentorship and research support for curriculum development, and strengthen credibility and quality assurance for its AI, digital skills, and technical training. Such partnerships would allow Thuto Letlotlo to offer accredited short learning programmes, contributing to South Africa's national skills development agenda.</w:t>
      </w:r>
    </w:p>
    <w:p w14:paraId="A6492A93">
      <w:pPr>
        <w:pStyle w:val="style4097"/>
        <w:pBdr>
          <w:bottom w:val="single" w:sz="6" w:space="4" w:color="1f3864"/>
        </w:pBdr>
        <w:spacing w:before="360" w:after="160"/>
        <w:rPr/>
      </w:pPr>
      <w:r>
        <w:rPr>
          <w:b/>
          <w:bCs/>
          <w:color w:val="1f3864"/>
          <w:sz w:val="30"/>
          <w:szCs w:val="30"/>
        </w:rPr>
        <w:t>18. Long-Term Vision</w:t>
      </w:r>
    </w:p>
    <w:p w14:paraId="D3A31556">
      <w:pPr>
        <w:pStyle w:val="style179"/>
        <w:numPr>
          <w:ilvl w:val="0"/>
          <w:numId w:val="1"/>
        </w:numPr>
        <w:spacing w:after="60"/>
        <w:rPr/>
      </w:pPr>
      <w:r>
        <w:rPr>
          <w:sz w:val="22"/>
          <w:szCs w:val="22"/>
        </w:rPr>
        <w:t>Training over 100,000 teachers nationally within five years.</w:t>
      </w:r>
    </w:p>
    <w:p w14:paraId="3470FB94">
      <w:pPr>
        <w:pStyle w:val="style179"/>
        <w:numPr>
          <w:ilvl w:val="0"/>
          <w:numId w:val="1"/>
        </w:numPr>
        <w:spacing w:after="60"/>
        <w:rPr/>
      </w:pPr>
      <w:r>
        <w:rPr>
          <w:sz w:val="22"/>
          <w:szCs w:val="22"/>
        </w:rPr>
        <w:t>Developing AI literacy programmes for school management teams and district officials.</w:t>
      </w:r>
    </w:p>
    <w:p w14:paraId="965AC74C">
      <w:pPr>
        <w:pStyle w:val="style179"/>
        <w:numPr>
          <w:ilvl w:val="0"/>
          <w:numId w:val="1"/>
        </w:numPr>
        <w:spacing w:after="60"/>
        <w:rPr/>
      </w:pPr>
      <w:r>
        <w:rPr>
          <w:sz w:val="22"/>
          <w:szCs w:val="22"/>
        </w:rPr>
        <w:t>Creating multilingual AI resources in South African languages.</w:t>
      </w:r>
    </w:p>
    <w:p w14:paraId="914DF6C5">
      <w:pPr>
        <w:pStyle w:val="style179"/>
        <w:numPr>
          <w:ilvl w:val="0"/>
          <w:numId w:val="1"/>
        </w:numPr>
        <w:spacing w:after="60"/>
        <w:rPr/>
      </w:pPr>
      <w:r>
        <w:rPr>
          <w:sz w:val="22"/>
          <w:szCs w:val="22"/>
        </w:rPr>
        <w:t>Partnering with universities, education departments, NGOs, and private-sector technology companies.</w:t>
      </w:r>
    </w:p>
    <w:p w14:paraId="C98DF611">
      <w:pPr>
        <w:pStyle w:val="style179"/>
        <w:numPr>
          <w:ilvl w:val="0"/>
          <w:numId w:val="1"/>
        </w:numPr>
        <w:spacing w:after="60"/>
        <w:rPr/>
      </w:pPr>
      <w:r>
        <w:rPr>
          <w:sz w:val="22"/>
          <w:szCs w:val="22"/>
        </w:rPr>
        <w:t>Scaling the renewable-energy skills and solar-for-schools model across further Free State districts and beyond.</w:t>
      </w:r>
    </w:p>
    <w:p w14:paraId="28D241C7">
      <w:pPr>
        <w:pStyle w:val="style4097"/>
        <w:pBdr>
          <w:bottom w:val="single" w:sz="6" w:space="4" w:color="1f3864"/>
        </w:pBdr>
        <w:spacing w:before="360" w:after="160"/>
        <w:rPr/>
      </w:pPr>
      <w:r>
        <w:rPr>
          <w:b/>
          <w:bCs/>
          <w:color w:val="1f3864"/>
          <w:sz w:val="30"/>
          <w:szCs w:val="30"/>
        </w:rPr>
        <w:t>19. Why Partner With Us</w:t>
      </w:r>
    </w:p>
    <w:p w14:paraId="2BF3B79C">
      <w:pPr>
        <w:pStyle w:val="style0"/>
        <w:spacing w:after="140" w:lineRule="auto" w:line="276"/>
        <w:rPr/>
      </w:pPr>
      <w:r>
        <w:rPr>
          <w:sz w:val="22"/>
          <w:szCs w:val="22"/>
        </w:rPr>
        <w:t>Thuto Letlotlo NPC combines local knowledge of the Matjhabeng community and Free State education sector with a structured, accredited, and accountable training model. We offer partners a transparent, compliant organisation — with the governance, monitoring systems, and on-the-ground relationships needed to turn funding and collaboration into measurable outcomes in education, digital skills, and youth employment.</w:t>
      </w:r>
    </w:p>
    <w:p w14:paraId="52521E3A">
      <w:pPr>
        <w:pStyle w:val="style4097"/>
        <w:pBdr>
          <w:bottom w:val="single" w:sz="6" w:space="4" w:color="1f3864"/>
        </w:pBdr>
        <w:spacing w:before="360" w:after="160"/>
        <w:rPr/>
      </w:pPr>
      <w:r>
        <w:rPr>
          <w:b/>
          <w:bCs/>
          <w:color w:val="1f3864"/>
          <w:sz w:val="30"/>
          <w:szCs w:val="30"/>
        </w:rPr>
        <w:t>20. Contact Information</w:t>
      </w: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3200"/>
        <w:gridCol w:w="6300"/>
      </w:tblGrid>
      <w:tr w14:paraId="D9E4D402">
        <w:trPr/>
        <w:tc>
          <w:tcPr>
            <w:tcW w:w="3200" w:type="dxa"/>
            <w:tcBorders/>
            <w:tcMar>
              <w:top w:w="100" w:type="dxa"/>
              <w:left w:w="120" w:type="dxa"/>
              <w:bottom w:w="100" w:type="dxa"/>
              <w:right w:w="120" w:type="dxa"/>
            </w:tcMar>
          </w:tcPr>
          <w:p w14:paraId="521EA543">
            <w:pPr>
              <w:pStyle w:val="style0"/>
              <w:rPr/>
            </w:pPr>
            <w:r>
              <w:rPr>
                <w:b w:val="false"/>
                <w:bCs w:val="false"/>
                <w:color w:val="000000"/>
                <w:sz w:val="21"/>
                <w:szCs w:val="21"/>
              </w:rPr>
              <w:t>Organisation</w:t>
            </w:r>
          </w:p>
        </w:tc>
        <w:tc>
          <w:tcPr>
            <w:tcW w:w="6300" w:type="dxa"/>
            <w:tcBorders/>
            <w:tcMar>
              <w:top w:w="100" w:type="dxa"/>
              <w:left w:w="120" w:type="dxa"/>
              <w:bottom w:w="100" w:type="dxa"/>
              <w:right w:w="120" w:type="dxa"/>
            </w:tcMar>
          </w:tcPr>
          <w:p w14:paraId="34E3DE91">
            <w:pPr>
              <w:pStyle w:val="style0"/>
              <w:rPr/>
            </w:pPr>
            <w:r>
              <w:rPr>
                <w:b w:val="false"/>
                <w:bCs w:val="false"/>
                <w:color w:val="000000"/>
                <w:sz w:val="21"/>
                <w:szCs w:val="21"/>
              </w:rPr>
              <w:t>Thuto Letlotlo NPC</w:t>
            </w:r>
          </w:p>
        </w:tc>
      </w:tr>
      <w:tr w14:paraId="CC814310">
        <w:tblPrEx/>
        <w:trPr/>
        <w:tc>
          <w:tcPr>
            <w:tcW w:w="3200" w:type="dxa"/>
            <w:tcBorders/>
            <w:tcMar>
              <w:top w:w="100" w:type="dxa"/>
              <w:left w:w="120" w:type="dxa"/>
              <w:bottom w:w="100" w:type="dxa"/>
              <w:right w:w="120" w:type="dxa"/>
            </w:tcMar>
          </w:tcPr>
          <w:p w14:paraId="D3ABEC82">
            <w:pPr>
              <w:pStyle w:val="style0"/>
              <w:rPr/>
            </w:pPr>
            <w:r>
              <w:rPr>
                <w:b w:val="false"/>
                <w:bCs w:val="false"/>
                <w:color w:val="000000"/>
                <w:sz w:val="21"/>
                <w:szCs w:val="21"/>
              </w:rPr>
              <w:t>Registration No.</w:t>
            </w:r>
          </w:p>
        </w:tc>
        <w:tc>
          <w:tcPr>
            <w:tcW w:w="6300" w:type="dxa"/>
            <w:tcBorders/>
            <w:tcMar>
              <w:top w:w="100" w:type="dxa"/>
              <w:left w:w="120" w:type="dxa"/>
              <w:bottom w:w="100" w:type="dxa"/>
              <w:right w:w="120" w:type="dxa"/>
            </w:tcMar>
          </w:tcPr>
          <w:p w14:paraId="A7EE1EB8">
            <w:pPr>
              <w:pStyle w:val="style0"/>
              <w:rPr/>
            </w:pPr>
            <w:r>
              <w:rPr>
                <w:b w:val="false"/>
                <w:bCs w:val="false"/>
                <w:color w:val="000000"/>
                <w:sz w:val="21"/>
                <w:szCs w:val="21"/>
              </w:rPr>
              <w:t>2025/062534/08</w:t>
            </w:r>
          </w:p>
        </w:tc>
      </w:tr>
      <w:tr w14:paraId="726F5F8C">
        <w:tblPrEx/>
        <w:trPr/>
        <w:tc>
          <w:tcPr>
            <w:tcW w:w="3200" w:type="dxa"/>
            <w:tcBorders/>
            <w:tcMar>
              <w:top w:w="100" w:type="dxa"/>
              <w:left w:w="120" w:type="dxa"/>
              <w:bottom w:w="100" w:type="dxa"/>
              <w:right w:w="120" w:type="dxa"/>
            </w:tcMar>
          </w:tcPr>
          <w:p w14:paraId="0154EF10">
            <w:pPr>
              <w:pStyle w:val="style0"/>
              <w:rPr/>
            </w:pPr>
            <w:r>
              <w:rPr>
                <w:b w:val="false"/>
                <w:bCs w:val="false"/>
                <w:color w:val="000000"/>
                <w:sz w:val="21"/>
                <w:szCs w:val="21"/>
              </w:rPr>
              <w:t>Email</w:t>
            </w:r>
          </w:p>
        </w:tc>
        <w:tc>
          <w:tcPr>
            <w:tcW w:w="6300" w:type="dxa"/>
            <w:tcBorders/>
            <w:tcMar>
              <w:top w:w="100" w:type="dxa"/>
              <w:left w:w="120" w:type="dxa"/>
              <w:bottom w:w="100" w:type="dxa"/>
              <w:right w:w="120" w:type="dxa"/>
            </w:tcMar>
          </w:tcPr>
          <w:p w14:paraId="A610115F">
            <w:pPr>
              <w:pStyle w:val="style0"/>
              <w:rPr/>
            </w:pPr>
            <w:r>
              <w:rPr>
                <w:lang w:val="en-US"/>
              </w:rPr>
              <w:t>Info@thuto-letlotlo.co.za</w:t>
            </w:r>
          </w:p>
        </w:tc>
      </w:tr>
      <w:tr w14:paraId="80130541">
        <w:tblPrEx/>
        <w:trPr/>
        <w:tc>
          <w:tcPr>
            <w:tcW w:w="3200" w:type="dxa"/>
            <w:tcBorders/>
            <w:tcMar>
              <w:top w:w="100" w:type="dxa"/>
              <w:left w:w="120" w:type="dxa"/>
              <w:bottom w:w="100" w:type="dxa"/>
              <w:right w:w="120" w:type="dxa"/>
            </w:tcMar>
          </w:tcPr>
          <w:p w14:paraId="4ED2BE70">
            <w:pPr>
              <w:pStyle w:val="style0"/>
              <w:rPr/>
            </w:pPr>
            <w:r>
              <w:rPr>
                <w:b w:val="false"/>
                <w:bCs w:val="false"/>
                <w:color w:val="000000"/>
                <w:sz w:val="21"/>
                <w:szCs w:val="21"/>
              </w:rPr>
              <w:t>Phone</w:t>
            </w:r>
          </w:p>
        </w:tc>
        <w:tc>
          <w:tcPr>
            <w:tcW w:w="6300" w:type="dxa"/>
            <w:tcBorders/>
            <w:tcMar>
              <w:top w:w="100" w:type="dxa"/>
              <w:left w:w="120" w:type="dxa"/>
              <w:bottom w:w="100" w:type="dxa"/>
              <w:right w:w="120" w:type="dxa"/>
            </w:tcMar>
          </w:tcPr>
          <w:p w14:paraId="F586D8B0">
            <w:pPr>
              <w:pStyle w:val="style0"/>
              <w:rPr/>
            </w:pPr>
            <w:r>
              <w:rPr>
                <w:b w:val="false"/>
                <w:bCs w:val="false"/>
                <w:color w:val="000000"/>
                <w:sz w:val="21"/>
                <w:szCs w:val="21"/>
                <w:lang w:val="en-US"/>
              </w:rPr>
              <w:t>0833693546</w:t>
            </w:r>
          </w:p>
        </w:tc>
      </w:tr>
      <w:tr w14:paraId="5B01E24F">
        <w:tblPrEx/>
        <w:trPr/>
        <w:tc>
          <w:tcPr>
            <w:tcW w:w="3200" w:type="dxa"/>
            <w:tcBorders/>
            <w:tcMar>
              <w:top w:w="100" w:type="dxa"/>
              <w:left w:w="120" w:type="dxa"/>
              <w:bottom w:w="100" w:type="dxa"/>
              <w:right w:w="120" w:type="dxa"/>
            </w:tcMar>
          </w:tcPr>
          <w:p w14:paraId="74C03A00">
            <w:pPr>
              <w:pStyle w:val="style0"/>
              <w:rPr/>
            </w:pPr>
            <w:r>
              <w:rPr>
                <w:b w:val="false"/>
                <w:bCs w:val="false"/>
                <w:color w:val="000000"/>
                <w:sz w:val="21"/>
                <w:szCs w:val="21"/>
              </w:rPr>
              <w:t>Address</w:t>
            </w:r>
          </w:p>
        </w:tc>
        <w:tc>
          <w:tcPr>
            <w:tcW w:w="6300" w:type="dxa"/>
            <w:tcBorders/>
            <w:tcMar>
              <w:top w:w="100" w:type="dxa"/>
              <w:left w:w="120" w:type="dxa"/>
              <w:bottom w:w="100" w:type="dxa"/>
              <w:right w:w="120" w:type="dxa"/>
            </w:tcMar>
          </w:tcPr>
          <w:p w14:paraId="8D208C0A">
            <w:pPr>
              <w:pStyle w:val="style0"/>
              <w:rPr/>
            </w:pPr>
          </w:p>
        </w:tc>
      </w:tr>
      <w:tr w14:paraId="B207D5F1">
        <w:tblPrEx/>
        <w:trPr/>
        <w:tc>
          <w:tcPr>
            <w:tcW w:w="3200" w:type="dxa"/>
            <w:tcBorders/>
            <w:tcMar>
              <w:top w:w="100" w:type="dxa"/>
              <w:left w:w="120" w:type="dxa"/>
              <w:bottom w:w="100" w:type="dxa"/>
              <w:right w:w="120" w:type="dxa"/>
            </w:tcMar>
          </w:tcPr>
          <w:p w14:paraId="5A50CA4F">
            <w:pPr>
              <w:pStyle w:val="style0"/>
              <w:rPr/>
            </w:pPr>
            <w:r>
              <w:rPr>
                <w:b w:val="false"/>
                <w:bCs w:val="false"/>
                <w:color w:val="000000"/>
                <w:sz w:val="21"/>
                <w:szCs w:val="21"/>
              </w:rPr>
              <w:t>Website</w:t>
            </w:r>
          </w:p>
        </w:tc>
        <w:tc>
          <w:tcPr>
            <w:tcW w:w="6300" w:type="dxa"/>
            <w:tcBorders/>
            <w:tcMar>
              <w:top w:w="100" w:type="dxa"/>
              <w:left w:w="120" w:type="dxa"/>
              <w:bottom w:w="100" w:type="dxa"/>
              <w:right w:w="120" w:type="dxa"/>
            </w:tcMar>
          </w:tcPr>
          <w:p w14:paraId="12C6800A">
            <w:pPr>
              <w:pStyle w:val="style0"/>
              <w:rPr/>
            </w:pPr>
          </w:p>
        </w:tc>
      </w:tr>
    </w:tbl>
    <w:p w14:paraId="0B850E33">
      <w:pPr>
        <w:pStyle w:val="style0"/>
        <w:spacing w:after="140" w:lineRule="auto" w:line="276"/>
        <w:rPr/>
      </w:pPr>
    </w:p>
    <w:p w14:paraId="8FB56AE2">
      <w:pPr>
        <w:pStyle w:val="style0"/>
        <w:spacing w:before="300"/>
        <w:jc w:val="center"/>
        <w:rPr/>
      </w:pPr>
      <w:r>
        <w:rPr>
          <w:b/>
          <w:bCs/>
          <w:i/>
          <w:iCs/>
          <w:color w:val="1f3864"/>
          <w:sz w:val="22"/>
          <w:szCs w:val="22"/>
        </w:rPr>
        <w:t>Thuto Letlotlo NPC  |  Empowering Minds. Transforming Skills. Building the Future.</w:t>
      </w:r>
    </w:p>
    <w:sectPr>
      <w:pgSz w:w="12240" w:h="15840" w:orient="portrait"/>
      <w:pgMar w:top="1440" w:right="1440" w:bottom="1440" w:left="1440" w:header="708" w:footer="708"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FFFFFFFF"/>
    <w:lvl w:ilvl="0" w:tentative="1">
      <w:start w:val="1"/>
      <w:numFmt w:val="bullet"/>
      <w:lvlText w:val="●"/>
      <w:lvlJc w:val="left"/>
      <w:pPr>
        <w:ind w:left="720" w:hanging="360"/>
      </w:pPr>
    </w:lvl>
    <w:lvl w:ilvl="1" w:tentative="1">
      <w:start w:val="1"/>
      <w:numFmt w:val="bullet"/>
      <w:lvlText w:val="○"/>
      <w:lvlJc w:val="left"/>
      <w:pPr>
        <w:ind w:left="1440" w:hanging="360"/>
      </w:pPr>
    </w:lvl>
    <w:lvl w:ilvl="2" w:tentative="1">
      <w:start w:val="1"/>
      <w:numFmt w:val="bullet"/>
      <w:lvlText w:val="■"/>
      <w:lvlJc w:val="left"/>
      <w:pPr>
        <w:ind w:left="2160" w:hanging="360"/>
      </w:pPr>
    </w:lvl>
    <w:lvl w:ilvl="3" w:tentative="1">
      <w:start w:val="1"/>
      <w:numFmt w:val="bullet"/>
      <w:lvlText w:val="●"/>
      <w:lvlJc w:val="left"/>
      <w:pPr>
        <w:ind w:left="2880" w:hanging="360"/>
      </w:pPr>
    </w:lvl>
    <w:lvl w:ilvl="4" w:tentative="1">
      <w:start w:val="1"/>
      <w:numFmt w:val="bullet"/>
      <w:lvlText w:val="○"/>
      <w:lvlJc w:val="left"/>
      <w:pPr>
        <w:ind w:left="3600" w:hanging="360"/>
      </w:pPr>
    </w:lvl>
    <w:lvl w:ilvl="5" w:tentative="1">
      <w:start w:val="1"/>
      <w:numFmt w:val="bullet"/>
      <w:lvlText w:val="■"/>
      <w:lvlJc w:val="left"/>
      <w:pPr>
        <w:ind w:left="4320" w:hanging="360"/>
      </w:pPr>
    </w:lvl>
    <w:lvl w:ilvl="6" w:tentative="1">
      <w:start w:val="1"/>
      <w:numFmt w:val="bullet"/>
      <w:lvlText w:val="●"/>
      <w:lvlJc w:val="left"/>
      <w:pPr>
        <w:ind w:left="5040" w:hanging="360"/>
      </w:pPr>
    </w:lvl>
    <w:lvl w:ilvl="7" w:tentative="1">
      <w:start w:val="1"/>
      <w:numFmt w:val="bullet"/>
      <w:lvlText w:val="●"/>
      <w:lvlJc w:val="left"/>
      <w:pPr>
        <w:ind w:left="5760" w:hanging="360"/>
      </w:pPr>
    </w:lvl>
    <w:lvl w:ilvl="8" w:tentative="1">
      <w:start w:val="1"/>
      <w:numFmt w:val="bullet"/>
      <w:lvlText w:val="●"/>
      <w:lvlJc w:val="left"/>
      <w:pPr>
        <w:ind w:left="6480" w:hanging="360"/>
      </w:pPr>
    </w:lvl>
  </w:abstractNum>
  <w:abstractNum w:abstractNumId="1">
    <w:nsid w:val="00000001"/>
    <w:multiLevelType w:val="hybridMultilevel"/>
    <w:tmpl w:val="FFFFFFFF"/>
    <w:lvl w:ilvl="0" w:tentative="1">
      <w:start w:val="1"/>
      <w:numFmt w:val="bullet"/>
      <w:lvlText w:val="•"/>
      <w:lvlJc w:val="left"/>
      <w:pPr>
        <w:ind w:left="504" w:hanging="288"/>
      </w:pPr>
    </w:lvl>
  </w:abstractNum>
  <w:num w:numId="1">
    <w:abstractNumId w:val="1"/>
    <w:lvlOverride w:ilvl="0">
      <w:startOverride w:val="1"/>
    </w:lvlOverride>
  </w:num>
  <w:num w:numId="2">
    <w:abstractNumId w:val="0"/>
    <w:lvlOverride w:ilvl="0">
      <w:startOverride w:val="1"/>
    </w:lvlOverride>
  </w:num>
</w:numbering>
</file>

<file path=word/settings.xml><?xml version="1.0" encoding="utf-8"?>
<w:settings xmlns:w="http://schemas.openxmlformats.org/wordprocessingml/2006/main" xmlns:r="http://schemas.openxmlformats.org/officeDocument/2006/relationships" xmlns:m="http://schemas.openxmlformats.org/officeDocument/2006/math">
  <w:displayBackgroundShape/>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compat>
    <w:compatSetting w:name="compatibilityMode" w:uri="http://schemas.microsoft.com/office/word" w:val="15"/>
  </w:compat>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pPrDefault>
      <w:pPr/>
    </w:pPrDefault>
  </w:docDefaults>
  <w:style w:type="paragraph" w:styleId="style62">
    <w:name w:val="Title"/>
    <w:next w:val="style62"/>
    <w:qFormat/>
    <w:pPr/>
    <w:rPr>
      <w:sz w:val="56"/>
      <w:szCs w:val="56"/>
    </w:rPr>
  </w:style>
  <w:style w:type="paragraph" w:customStyle="1" w:styleId="style4097">
    <w:name w:val="Heading 1"/>
    <w:next w:val="style4097"/>
    <w:qFormat/>
    <w:pPr/>
    <w:rPr>
      <w:color w:val="2e74b5"/>
      <w:sz w:val="32"/>
      <w:szCs w:val="32"/>
    </w:rPr>
  </w:style>
  <w:style w:type="paragraph" w:customStyle="1" w:styleId="style4098">
    <w:name w:val="Heading 2"/>
    <w:next w:val="style4098"/>
    <w:qFormat/>
    <w:pPr/>
    <w:rPr>
      <w:color w:val="2e74b5"/>
      <w:sz w:val="26"/>
      <w:szCs w:val="26"/>
    </w:rPr>
  </w:style>
  <w:style w:type="paragraph" w:customStyle="1" w:styleId="style4099">
    <w:name w:val="Heading 3"/>
    <w:next w:val="style4099"/>
    <w:qFormat/>
    <w:pPr/>
    <w:rPr>
      <w:color w:val="1f4d78"/>
      <w:sz w:val="24"/>
      <w:szCs w:val="24"/>
    </w:rPr>
  </w:style>
  <w:style w:type="paragraph" w:customStyle="1" w:styleId="style4100">
    <w:name w:val="Heading 4"/>
    <w:next w:val="style4100"/>
    <w:qFormat/>
    <w:pPr/>
    <w:rPr>
      <w:i/>
      <w:iCs/>
      <w:color w:val="2e74b5"/>
    </w:rPr>
  </w:style>
  <w:style w:type="paragraph" w:customStyle="1" w:styleId="style4101">
    <w:name w:val="Heading 5"/>
    <w:next w:val="style4101"/>
    <w:qFormat/>
    <w:pPr/>
    <w:rPr>
      <w:color w:val="2e74b5"/>
    </w:rPr>
  </w:style>
  <w:style w:type="paragraph" w:customStyle="1" w:styleId="style4102">
    <w:name w:val="Heading 6"/>
    <w:next w:val="style4102"/>
    <w:qFormat/>
    <w:pPr/>
    <w:rPr>
      <w:color w:val="1f4d78"/>
    </w:rPr>
  </w:style>
  <w:style w:type="paragraph" w:customStyle="1" w:styleId="style4103">
    <w:name w:val="Strong_da05429e-4ff4-450d-af6d-bb8069b601c2"/>
    <w:next w:val="style4103"/>
    <w:qFormat/>
    <w:pPr/>
    <w:rPr>
      <w:b/>
      <w:bCs/>
    </w:rPr>
  </w:style>
  <w:style w:type="paragraph" w:styleId="style179">
    <w:name w:val="List Paragraph"/>
    <w:next w:val="style179"/>
    <w:qFormat/>
    <w:pPr/>
  </w:style>
  <w:style w:type="character" w:styleId="style85">
    <w:name w:val="Hyperlink"/>
    <w:next w:val="style85"/>
    <w:uiPriority w:val="99"/>
    <w:rPr>
      <w:color w:val="0563c1"/>
      <w:u w:val="single"/>
    </w:rPr>
  </w:style>
  <w:style w:type="character" w:styleId="style38">
    <w:name w:val="footnote reference"/>
    <w:next w:val="style38"/>
    <w:uiPriority w:val="99"/>
    <w:rPr>
      <w:vertAlign w:val="superscript"/>
    </w:rPr>
  </w:style>
  <w:style w:type="paragraph" w:styleId="style29">
    <w:name w:val="footnote text"/>
    <w:next w:val="style29"/>
    <w:link w:val="style4104"/>
    <w:uiPriority w:val="99"/>
    <w:pPr>
      <w:spacing w:after="0" w:lineRule="auto" w:line="240"/>
    </w:pPr>
    <w:rPr>
      <w:sz w:val="20"/>
      <w:szCs w:val="20"/>
    </w:rPr>
  </w:style>
  <w:style w:type="character" w:customStyle="1" w:styleId="style4104">
    <w:name w:val="Footnote Text Char"/>
    <w:next w:val="style4104"/>
    <w:link w:val="style29"/>
    <w:uiPriority w:val="99"/>
    <w:rPr>
      <w:sz w:val="20"/>
      <w:szCs w:val="20"/>
    </w:rPr>
  </w:style>
  <w:style w:type="character" w:styleId="style42">
    <w:name w:val="endnote reference"/>
    <w:next w:val="style42"/>
    <w:uiPriority w:val="99"/>
    <w:rPr>
      <w:vertAlign w:val="superscript"/>
    </w:rPr>
  </w:style>
  <w:style w:type="paragraph" w:styleId="style43">
    <w:name w:val="endnote text"/>
    <w:next w:val="style43"/>
    <w:link w:val="style4105"/>
    <w:uiPriority w:val="99"/>
    <w:pPr>
      <w:spacing w:after="0" w:lineRule="auto" w:line="240"/>
    </w:pPr>
    <w:rPr>
      <w:sz w:val="20"/>
      <w:szCs w:val="20"/>
    </w:rPr>
  </w:style>
  <w:style w:type="character" w:customStyle="1" w:styleId="style4105">
    <w:name w:val="Endnote Text Char"/>
    <w:next w:val="style4105"/>
    <w:link w:val="style43"/>
    <w:uiPriority w:val="99"/>
    <w:rPr>
      <w:sz w:val="20"/>
      <w:szCs w:val="20"/>
    </w:rPr>
  </w:style>
  <w:style w:type="paragraph" w:default="1" w:styleId="style0">
    <w:name w:val="Normal"/>
    <w:next w:val="style0"/>
    <w:pPr>
      <w:jc w:val="both"/>
    </w:pPr>
    <w:rPr>
      <w:sz w:val="21"/>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1607</Words>
  <Characters>10810</Characters>
  <Application>WPS Office</Application>
  <Paragraphs>156</Paragraphs>
  <CharactersWithSpaces>12288</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2026-07-20T18:18:49Z</dcterms:created>
  <dc:creator>Un-named</dc:creator>
  <lastModifiedBy>23129RAA4G</lastModifiedBy>
  <dcterms:modified xsi:type="dcterms:W3CDTF">2026-07-20T18:21:23Z</dcterms:modified>
  <revision>1</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82536d69bf744bbd92b6f4fef4842584_23</vt:lpwstr>
  </property>
</Properties>
</file>